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31489" w14:textId="77777777" w:rsidR="001B7286" w:rsidRPr="00531760" w:rsidRDefault="001B7286" w:rsidP="001B7286">
      <w:pPr>
        <w:jc w:val="center"/>
        <w:outlineLvl w:val="0"/>
        <w:rPr>
          <w:sz w:val="44"/>
        </w:rPr>
      </w:pPr>
      <w:r>
        <w:rPr>
          <w:sz w:val="44"/>
        </w:rPr>
        <w:t>Prallethrin</w:t>
      </w:r>
    </w:p>
    <w:p w14:paraId="5F67A36F" w14:textId="77777777" w:rsidR="001B7286" w:rsidRPr="00531760" w:rsidRDefault="001B7286" w:rsidP="001B7286">
      <w:pPr>
        <w:jc w:val="center"/>
        <w:outlineLvl w:val="0"/>
        <w:rPr>
          <w:sz w:val="44"/>
        </w:rPr>
      </w:pPr>
      <w:r>
        <w:rPr>
          <w:sz w:val="44"/>
        </w:rPr>
        <w:t>743</w:t>
      </w:r>
    </w:p>
    <w:p w14:paraId="25F5C719" w14:textId="2B0524BD" w:rsidR="001B7286" w:rsidRPr="00531760" w:rsidRDefault="001B7286" w:rsidP="001B7286">
      <w:pPr>
        <w:jc w:val="center"/>
        <w:outlineLvl w:val="0"/>
        <w:rPr>
          <w:sz w:val="44"/>
        </w:rPr>
      </w:pPr>
      <w:r>
        <w:rPr>
          <w:sz w:val="44"/>
        </w:rPr>
        <w:t>74</w:t>
      </w:r>
      <w:r w:rsidR="00293582">
        <w:rPr>
          <w:sz w:val="44"/>
        </w:rPr>
        <w:t>3</w:t>
      </w:r>
      <w:r w:rsidRPr="00531760">
        <w:rPr>
          <w:sz w:val="44"/>
        </w:rPr>
        <w:t>/</w:t>
      </w:r>
      <w:r w:rsidR="00293582">
        <w:rPr>
          <w:sz w:val="44"/>
        </w:rPr>
        <w:t>LV</w:t>
      </w:r>
      <w:r w:rsidRPr="00531760">
        <w:rPr>
          <w:sz w:val="44"/>
        </w:rPr>
        <w:t>/M/-</w:t>
      </w:r>
    </w:p>
    <w:p w14:paraId="60E3C187" w14:textId="77777777" w:rsidR="001B7286" w:rsidRPr="00531760" w:rsidRDefault="001B7286" w:rsidP="001B7286">
      <w:pPr>
        <w:jc w:val="center"/>
        <w:outlineLvl w:val="0"/>
        <w:rPr>
          <w:sz w:val="44"/>
        </w:rPr>
      </w:pPr>
      <w:r w:rsidRPr="00531760">
        <w:rPr>
          <w:sz w:val="44"/>
        </w:rPr>
        <w:t xml:space="preserve">Method Extension for </w:t>
      </w:r>
      <w:r>
        <w:rPr>
          <w:sz w:val="44"/>
        </w:rPr>
        <w:t>Prallethrin</w:t>
      </w:r>
      <w:r w:rsidRPr="00531760">
        <w:rPr>
          <w:sz w:val="44"/>
        </w:rPr>
        <w:t xml:space="preserve"> </w:t>
      </w:r>
      <w:r>
        <w:rPr>
          <w:sz w:val="44"/>
        </w:rPr>
        <w:t>UL</w:t>
      </w:r>
    </w:p>
    <w:p w14:paraId="1C8441C5" w14:textId="77777777" w:rsidR="001B7286" w:rsidRDefault="001B7286" w:rsidP="001B7286">
      <w:pPr>
        <w:jc w:val="center"/>
      </w:pPr>
    </w:p>
    <w:p w14:paraId="18DBE15C" w14:textId="77777777" w:rsidR="00044044" w:rsidRDefault="001B7286" w:rsidP="001B7286">
      <w:pPr>
        <w:jc w:val="center"/>
      </w:pPr>
      <w:r>
        <w:t>Studies for Method Extension of existing CIPAC method for Prallethrin UL.</w:t>
      </w:r>
    </w:p>
    <w:p w14:paraId="46614224" w14:textId="77777777" w:rsidR="001B7286" w:rsidRDefault="001B7286" w:rsidP="001B7286">
      <w:pPr>
        <w:jc w:val="center"/>
      </w:pPr>
    </w:p>
    <w:p w14:paraId="1C333001" w14:textId="77777777" w:rsidR="001B7286" w:rsidRDefault="001B7286" w:rsidP="001B7286"/>
    <w:p w14:paraId="72C5506E" w14:textId="77777777" w:rsidR="001B7286" w:rsidRDefault="001B7286" w:rsidP="001B7286"/>
    <w:p w14:paraId="16AB8366" w14:textId="77777777" w:rsidR="001B7286" w:rsidRDefault="001B7286" w:rsidP="001B7286"/>
    <w:p w14:paraId="4CDCA836" w14:textId="77777777" w:rsidR="001B7286" w:rsidRDefault="001B7286" w:rsidP="001B7286"/>
    <w:p w14:paraId="482DF662" w14:textId="77777777" w:rsidR="001B7286" w:rsidRDefault="001B7286" w:rsidP="001B7286"/>
    <w:p w14:paraId="2651F47B" w14:textId="77777777" w:rsidR="001B7286" w:rsidRDefault="001B7286" w:rsidP="001B7286"/>
    <w:p w14:paraId="311CD539" w14:textId="77777777" w:rsidR="001B7286" w:rsidRDefault="001B7286" w:rsidP="001B7286"/>
    <w:p w14:paraId="3A2CAA93" w14:textId="77777777" w:rsidR="001B7286" w:rsidRDefault="001B7286" w:rsidP="001B7286"/>
    <w:p w14:paraId="5E988C16" w14:textId="77777777" w:rsidR="001B7286" w:rsidRDefault="001B7286" w:rsidP="001B7286"/>
    <w:p w14:paraId="1D431B29" w14:textId="77777777" w:rsidR="001B7286" w:rsidRDefault="001B7286" w:rsidP="001B7286"/>
    <w:p w14:paraId="3275AE57" w14:textId="77777777" w:rsidR="001B7286" w:rsidRDefault="001B7286" w:rsidP="001B7286"/>
    <w:p w14:paraId="67AE0D27" w14:textId="77777777" w:rsidR="001B7286" w:rsidRDefault="001B7286" w:rsidP="001B7286"/>
    <w:p w14:paraId="1B3B914C" w14:textId="77777777" w:rsidR="001B7286" w:rsidRDefault="001B7286" w:rsidP="001B7286"/>
    <w:p w14:paraId="5741DB50" w14:textId="77777777" w:rsidR="001B7286" w:rsidRDefault="001B7286" w:rsidP="001B7286">
      <w:r>
        <w:t>By</w:t>
      </w:r>
      <w:r>
        <w:br/>
        <w:t>Kevin King</w:t>
      </w:r>
      <w:r>
        <w:br/>
        <w:t>Clarke Mosquito Control</w:t>
      </w:r>
      <w:r>
        <w:br/>
        <w:t>Analytical Laboratory</w:t>
      </w:r>
      <w:r>
        <w:br/>
        <w:t>675 Sidwell Ct, St. Charles IL, 60174</w:t>
      </w:r>
    </w:p>
    <w:p w14:paraId="6F26EFE2" w14:textId="78B30D00" w:rsidR="001B7286" w:rsidRDefault="001B7286" w:rsidP="00DD5157">
      <w:pPr>
        <w:pStyle w:val="ListParagraph"/>
        <w:numPr>
          <w:ilvl w:val="0"/>
          <w:numId w:val="2"/>
        </w:numPr>
      </w:pPr>
      <w:r w:rsidRPr="00833DC6">
        <w:rPr>
          <w:b/>
        </w:rPr>
        <w:lastRenderedPageBreak/>
        <w:t>Introduction</w:t>
      </w:r>
      <w:r>
        <w:rPr>
          <w:b/>
        </w:rPr>
        <w:br/>
      </w:r>
      <w:r>
        <w:rPr>
          <w:b/>
        </w:rPr>
        <w:br/>
      </w:r>
      <w:r>
        <w:t>The CIPAC 74</w:t>
      </w:r>
      <w:r w:rsidR="00293582">
        <w:t>3</w:t>
      </w:r>
      <w:r>
        <w:t>/</w:t>
      </w:r>
      <w:r w:rsidR="00293582">
        <w:t>LV</w:t>
      </w:r>
      <w:r>
        <w:t xml:space="preserve">/M/- </w:t>
      </w:r>
      <w:r w:rsidR="00F1452F">
        <w:t xml:space="preserve"> total prallethrin content method </w:t>
      </w:r>
      <w:r>
        <w:t>was extended to the UL formulation type, that contains prallethrin, with a few modifications. This report was prepared to demonstrate the validity of the extension of the CIPAC 74</w:t>
      </w:r>
      <w:r w:rsidR="00CC111A">
        <w:t>3</w:t>
      </w:r>
      <w:r>
        <w:t>/</w:t>
      </w:r>
      <w:r w:rsidR="00293582">
        <w:t>LV</w:t>
      </w:r>
      <w:r>
        <w:t xml:space="preserve">/M/- for </w:t>
      </w:r>
      <w:r w:rsidR="00F1452F">
        <w:t xml:space="preserve">total </w:t>
      </w:r>
      <w:r>
        <w:t>prallethrin</w:t>
      </w:r>
      <w:r w:rsidR="00F1452F">
        <w:t xml:space="preserve"> in </w:t>
      </w:r>
      <w:r w:rsidR="00BF151B">
        <w:t>UL formulations. The analysis was performed by two separate laboratories.</w:t>
      </w:r>
      <w:r w:rsidR="00BF151B">
        <w:br/>
      </w:r>
      <w:r w:rsidR="00BF151B">
        <w:br/>
        <w:t>A selective identity test was also performed utilizing GC/MS to confirm the identity of prallethrin in the UL formulation.</w:t>
      </w:r>
    </w:p>
    <w:p w14:paraId="43CD9CA0" w14:textId="77777777" w:rsidR="001B7286" w:rsidRDefault="001B7286" w:rsidP="001B7286">
      <w:pPr>
        <w:pStyle w:val="ListParagraph"/>
      </w:pPr>
    </w:p>
    <w:p w14:paraId="41FE72C7" w14:textId="6A337CA8" w:rsidR="00F06E0C" w:rsidRPr="00F06E0C" w:rsidRDefault="00F06E0C" w:rsidP="00F06E0C">
      <w:pPr>
        <w:pStyle w:val="ListParagraph"/>
        <w:numPr>
          <w:ilvl w:val="0"/>
          <w:numId w:val="2"/>
        </w:numPr>
      </w:pPr>
      <w:r>
        <w:rPr>
          <w:b/>
        </w:rPr>
        <w:t>Method Assessment</w:t>
      </w:r>
      <w:r>
        <w:rPr>
          <w:b/>
        </w:rPr>
        <w:br/>
      </w:r>
      <w:r>
        <w:rPr>
          <w:b/>
        </w:rPr>
        <w:br/>
      </w:r>
      <w:r>
        <w:t>According to the CIPAC method extension guideline, the method extension of the CIPAC 74</w:t>
      </w:r>
      <w:r w:rsidR="00CC111A">
        <w:t>3</w:t>
      </w:r>
      <w:r>
        <w:t>/</w:t>
      </w:r>
      <w:r w:rsidR="00E704FF">
        <w:t>LV</w:t>
      </w:r>
      <w:r>
        <w:t>/M/- for</w:t>
      </w:r>
      <w:r w:rsidR="00F1452F">
        <w:t xml:space="preserve"> total</w:t>
      </w:r>
      <w:r>
        <w:t xml:space="preserve"> prallethrin </w:t>
      </w:r>
      <w:r w:rsidR="00F1452F">
        <w:t xml:space="preserve">in UL formulations </w:t>
      </w:r>
      <w:r>
        <w:t>was investigated.</w:t>
      </w:r>
      <w:r>
        <w:br/>
      </w:r>
      <w:r>
        <w:br/>
        <w:t xml:space="preserve">One UL formulation, CMP123-004, was subjected to this assessment. </w:t>
      </w:r>
      <w:r w:rsidR="009C0A26">
        <w:t xml:space="preserve">This assessment was performed by two separate </w:t>
      </w:r>
      <w:r w:rsidR="00BB718C">
        <w:t>laboratories:</w:t>
      </w:r>
      <w:r w:rsidR="00BB718C">
        <w:br/>
      </w:r>
      <w:r w:rsidR="009C0A26">
        <w:rPr>
          <w:b/>
        </w:rPr>
        <w:br/>
      </w:r>
      <w:r w:rsidR="009C0A26">
        <w:t>Clarke R&amp;D Laboratory</w:t>
      </w:r>
      <w:r w:rsidR="009C0A26">
        <w:br/>
        <w:t>675 Sidwell Cou</w:t>
      </w:r>
      <w:r w:rsidR="00BB718C">
        <w:t>rt</w:t>
      </w:r>
      <w:r w:rsidR="00BB718C">
        <w:br/>
        <w:t>St. Charles, Illinois 60174</w:t>
      </w:r>
      <w:r w:rsidR="00BB718C">
        <w:br/>
        <w:t>and</w:t>
      </w:r>
      <w:r w:rsidR="007C031E">
        <w:rPr>
          <w:b/>
        </w:rPr>
        <w:br/>
      </w:r>
      <w:r w:rsidR="007C031E" w:rsidRPr="007C031E">
        <w:t>Dow AgroSciences</w:t>
      </w:r>
      <w:r w:rsidR="007C031E" w:rsidRPr="007C031E">
        <w:br/>
        <w:t>9330 Zionsville Rd</w:t>
      </w:r>
      <w:r w:rsidR="007C031E">
        <w:rPr>
          <w:b/>
        </w:rPr>
        <w:br/>
      </w:r>
      <w:r w:rsidR="007C031E" w:rsidRPr="007C031E">
        <w:t>Indianapolis, Indiana 46268</w:t>
      </w:r>
      <w:r w:rsidR="009C0A26">
        <w:rPr>
          <w:b/>
        </w:rPr>
        <w:br/>
      </w:r>
      <w:r w:rsidR="009C0A26">
        <w:br/>
      </w:r>
      <w:r>
        <w:t xml:space="preserve">The nominal content of </w:t>
      </w:r>
      <w:r w:rsidR="00F1452F">
        <w:t xml:space="preserve">total </w:t>
      </w:r>
      <w:r>
        <w:t>prallethrin in the UL formulation tested is 7.5 g/kg</w:t>
      </w:r>
      <w:r>
        <w:rPr>
          <w:b/>
        </w:rPr>
        <w:br/>
      </w:r>
    </w:p>
    <w:p w14:paraId="59860F2A" w14:textId="1FE79A43" w:rsidR="00F06E0C" w:rsidRDefault="00F06E0C" w:rsidP="00F06E0C">
      <w:pPr>
        <w:pStyle w:val="ListParagraph"/>
        <w:numPr>
          <w:ilvl w:val="1"/>
          <w:numId w:val="2"/>
        </w:numPr>
      </w:pPr>
      <w:r>
        <w:rPr>
          <w:b/>
        </w:rPr>
        <w:t>Check the availability of a CIPAC method for the formulation concerned (Step 1)</w:t>
      </w:r>
      <w:r>
        <w:br/>
      </w:r>
      <w:r>
        <w:br/>
        <w:t>The formulation of interest is a combination active ingredient formulation. There is no existing CIPAC method available for the UL formulation type containing prallethrin. The formulation of interest, CMP123-004, contains prallethrin. The method extension of CIPAC 74</w:t>
      </w:r>
      <w:r w:rsidR="00CC111A">
        <w:t>3</w:t>
      </w:r>
      <w:r>
        <w:t>/</w:t>
      </w:r>
      <w:r w:rsidR="00E704FF">
        <w:t>LV</w:t>
      </w:r>
      <w:r>
        <w:t>/M/- was investigated.</w:t>
      </w:r>
      <w:r>
        <w:br/>
      </w:r>
    </w:p>
    <w:p w14:paraId="0700940E" w14:textId="338ECE98" w:rsidR="00F06E0C" w:rsidRDefault="00F06E0C" w:rsidP="00F06E0C">
      <w:pPr>
        <w:pStyle w:val="ListParagraph"/>
        <w:numPr>
          <w:ilvl w:val="1"/>
          <w:numId w:val="2"/>
        </w:numPr>
      </w:pPr>
      <w:r>
        <w:rPr>
          <w:b/>
        </w:rPr>
        <w:t>Check whether the concentration of the analyte is inside or outside the acceptability range covered by the samples of the original trial (Step 2)</w:t>
      </w:r>
      <w:r>
        <w:br/>
      </w:r>
      <w:r>
        <w:br/>
        <w:t>CIPAC 74</w:t>
      </w:r>
      <w:r w:rsidR="00BB453F">
        <w:t>3</w:t>
      </w:r>
      <w:r>
        <w:t>/</w:t>
      </w:r>
      <w:r w:rsidR="00E704FF">
        <w:t>LV</w:t>
      </w:r>
      <w:r>
        <w:t>/M/- was originally evaluated for concentrations of</w:t>
      </w:r>
      <w:r w:rsidR="00122380">
        <w:t xml:space="preserve"> 10.5g/kg (0.9 to 1.1 mg/ml, in final sample solutions)</w:t>
      </w:r>
      <w:r w:rsidR="00BB453F">
        <w:t xml:space="preserve"> </w:t>
      </w:r>
      <w:r>
        <w:t>The prallethrin content in the formulation of interest is 7.5 g/kg. This is within</w:t>
      </w:r>
      <w:r w:rsidR="00122380">
        <w:t xml:space="preserve"> </w:t>
      </w:r>
      <w:r>
        <w:t xml:space="preserve">the acceptability range of the existing CIPAC method. </w:t>
      </w:r>
      <w:r w:rsidR="00122380">
        <w:t>In</w:t>
      </w:r>
      <w:r>
        <w:t xml:space="preserve"> the preparation of the sample, the prallethrin concentration in the sample solution was set </w:t>
      </w:r>
      <w:r>
        <w:lastRenderedPageBreak/>
        <w:t>to 1 mg/m</w:t>
      </w:r>
      <w:r w:rsidR="00BB453F">
        <w:t>l</w:t>
      </w:r>
      <w:r>
        <w:t xml:space="preserve"> as described in the sample preparation section of the existing CIPAC method. This is the identical concentration of prallethrin that is present in the calibration solutions, </w:t>
      </w:r>
      <w:r w:rsidR="00A1771B">
        <w:t>thus the analysis of the sample solution per the CIPAC method falls within the acceptable linearity range.</w:t>
      </w:r>
      <w:r w:rsidR="00A1771B">
        <w:br/>
      </w:r>
    </w:p>
    <w:p w14:paraId="3C3C8FBD" w14:textId="589B7478" w:rsidR="00A1771B" w:rsidRDefault="00A1771B" w:rsidP="00F06E0C">
      <w:pPr>
        <w:pStyle w:val="ListParagraph"/>
        <w:numPr>
          <w:ilvl w:val="1"/>
          <w:numId w:val="2"/>
        </w:numPr>
      </w:pPr>
      <w:r w:rsidRPr="009C0A26">
        <w:rPr>
          <w:b/>
        </w:rPr>
        <w:t>Modification of method has to be changed in order to be specific (Step 4)</w:t>
      </w:r>
      <w:r>
        <w:br/>
      </w:r>
      <w:r>
        <w:br/>
        <w:t>In order to apply the CIPAC 74</w:t>
      </w:r>
      <w:r w:rsidR="00BB453F">
        <w:t>3</w:t>
      </w:r>
      <w:r>
        <w:t>/</w:t>
      </w:r>
      <w:r w:rsidR="00BB453F">
        <w:t>LV</w:t>
      </w:r>
      <w:r>
        <w:t>/M/- methodology to the formulation of interest, CMP123-004, the following modifications were applied:</w:t>
      </w:r>
    </w:p>
    <w:p w14:paraId="7A631767" w14:textId="7E23D7B4" w:rsidR="00A1771B" w:rsidRDefault="00A1771B" w:rsidP="00A1771B">
      <w:pPr>
        <w:pStyle w:val="ListParagraph"/>
        <w:numPr>
          <w:ilvl w:val="2"/>
          <w:numId w:val="2"/>
        </w:numPr>
      </w:pPr>
      <w:r>
        <w:t xml:space="preserve">Detector temperature </w:t>
      </w:r>
      <w:r w:rsidR="009C0A26">
        <w:t>and Inlet temperature were changed to 325</w:t>
      </w:r>
      <w:r>
        <w:t>ºC</w:t>
      </w:r>
    </w:p>
    <w:p w14:paraId="5B455A07" w14:textId="0E9BB263" w:rsidR="004A6003" w:rsidRDefault="004A6003" w:rsidP="00A1771B">
      <w:pPr>
        <w:pStyle w:val="ListParagraph"/>
        <w:numPr>
          <w:ilvl w:val="2"/>
          <w:numId w:val="2"/>
        </w:numPr>
      </w:pPr>
      <w:r>
        <w:t>In this particular formulation a matrix effect was observed. Therefore the method of analysis required quantification to be performed through the methodology of standard addition (utilizing both the external and internal standard solutions) to account for the matrix effects observed.</w:t>
      </w:r>
    </w:p>
    <w:p w14:paraId="40170323" w14:textId="577A7BDF" w:rsidR="009C0A26" w:rsidRDefault="004A6003" w:rsidP="00A1771B">
      <w:pPr>
        <w:pStyle w:val="ListParagraph"/>
        <w:numPr>
          <w:ilvl w:val="2"/>
          <w:numId w:val="2"/>
        </w:numPr>
      </w:pPr>
      <w:r>
        <w:t>If other UL formulations do not exhibit any matrix effect (suppression or amplification of analyte signal) then the method of quantification can remain as for the existing CIPAC LV method</w:t>
      </w:r>
    </w:p>
    <w:p w14:paraId="2F4D7FE9" w14:textId="6EC539C6" w:rsidR="003A2669" w:rsidRDefault="005F1B41" w:rsidP="005F1B41">
      <w:pPr>
        <w:ind w:left="1440"/>
      </w:pPr>
      <w:r>
        <w:t>These changes are considered to be minor modifications.</w:t>
      </w:r>
    </w:p>
    <w:p w14:paraId="2D9F7E21" w14:textId="69B29E35" w:rsidR="00BA5D11" w:rsidRDefault="007C031E" w:rsidP="00BA5D11">
      <w:pPr>
        <w:ind w:left="1440"/>
      </w:pPr>
      <w:r>
        <w:t>The Clarke UL formulation of interest, CMP123-004 was observed, through</w:t>
      </w:r>
      <w:r w:rsidR="00DF04BC">
        <w:t xml:space="preserve"> multiple analyses, </w:t>
      </w:r>
      <w:r>
        <w:t xml:space="preserve">to exhibit a matrix effect that results in a suppression </w:t>
      </w:r>
      <w:r w:rsidR="00DF04BC">
        <w:t xml:space="preserve">of the </w:t>
      </w:r>
      <w:proofErr w:type="spellStart"/>
      <w:r w:rsidR="00DF04BC">
        <w:t>prallethrin</w:t>
      </w:r>
      <w:proofErr w:type="spellEnd"/>
      <w:r w:rsidR="00DF04BC">
        <w:t xml:space="preserve"> response. This suppression effect was </w:t>
      </w:r>
      <w:r w:rsidR="004A6003">
        <w:t>confirmed when</w:t>
      </w:r>
      <w:r w:rsidR="00DF04BC">
        <w:t xml:space="preserve"> analyzing the formulation with an internal HPLC method </w:t>
      </w:r>
      <w:r w:rsidR="004A6003">
        <w:t>which provided acceptable recovery results. The matrix effect was found to provide recovery levels 10 to 15% below expected results.</w:t>
      </w:r>
      <w:r w:rsidR="00DF04BC">
        <w:br/>
      </w:r>
      <w:r w:rsidR="00DF04BC">
        <w:br/>
        <w:t xml:space="preserve">In order to achieve acceptable and accurate recoveries of </w:t>
      </w:r>
      <w:proofErr w:type="spellStart"/>
      <w:r w:rsidR="00DF04BC">
        <w:t>prallethrin</w:t>
      </w:r>
      <w:proofErr w:type="spellEnd"/>
      <w:r w:rsidR="00DF04BC">
        <w:t xml:space="preserve"> in the formulation, it was necessary to account for this matrix effect through the utilization of analysis and quantification using a method of standard addition. </w:t>
      </w:r>
    </w:p>
    <w:p w14:paraId="5AB68503" w14:textId="046C42C8" w:rsidR="00BA5D11" w:rsidRDefault="00DF04BC" w:rsidP="00BA5D11">
      <w:pPr>
        <w:ind w:left="1440"/>
      </w:pPr>
      <w:r>
        <w:t xml:space="preserve">Standard addition is a common and widely used </w:t>
      </w:r>
      <w:r w:rsidR="004A6003">
        <w:t xml:space="preserve">analytical </w:t>
      </w:r>
      <w:r>
        <w:t>technique to account for matrix effects observed through sample analysis by spiking sample preparations of the UL formulation with varying volumes of a stock standard to generate a known range of standard concentrations in each of the sample solutions, which also contain the unknown amount from the formulation.</w:t>
      </w:r>
    </w:p>
    <w:p w14:paraId="51A0F776" w14:textId="4FAF9660" w:rsidR="00DF04BC" w:rsidRDefault="00DF04BC" w:rsidP="00DF04BC">
      <w:pPr>
        <w:ind w:left="1440"/>
      </w:pPr>
      <w:r>
        <w:t xml:space="preserve">In order to adapt the method of standard addition to the CIPAC method, the following </w:t>
      </w:r>
      <w:r w:rsidR="004A6003">
        <w:t>procedures were followed</w:t>
      </w:r>
      <w:r>
        <w:t>:</w:t>
      </w:r>
    </w:p>
    <w:p w14:paraId="41CDE0CE" w14:textId="6C3027D6" w:rsidR="00DF04BC" w:rsidRDefault="00DF04BC" w:rsidP="00DF04BC">
      <w:pPr>
        <w:pStyle w:val="ListParagraph"/>
        <w:numPr>
          <w:ilvl w:val="0"/>
          <w:numId w:val="7"/>
        </w:numPr>
      </w:pPr>
      <w:r>
        <w:t>A stock standard preparation was required. This was made by weighing, to the nearest 0.1mg, 125mg of Prallethrin analytical reference standard into a 25mL volumetric flask and diluting with acetone to volume.</w:t>
      </w:r>
    </w:p>
    <w:p w14:paraId="35CCA7DD" w14:textId="5ADCAF8D" w:rsidR="00A24F65" w:rsidRDefault="00A24F65" w:rsidP="00DF04BC">
      <w:pPr>
        <w:pStyle w:val="ListParagraph"/>
        <w:numPr>
          <w:ilvl w:val="0"/>
          <w:numId w:val="7"/>
        </w:numPr>
      </w:pPr>
      <w:r>
        <w:lastRenderedPageBreak/>
        <w:t xml:space="preserve">The ISTD Stock Solution preparation remained the same as the original CIPAC method. 2g of triphenyl phosphate was dissolved in a 100mL in acetone, </w:t>
      </w:r>
      <w:r w:rsidR="00FF4D52">
        <w:t>and then</w:t>
      </w:r>
      <w:r>
        <w:t xml:space="preserve"> diluted to volume with acetone.</w:t>
      </w:r>
    </w:p>
    <w:p w14:paraId="19B3FD59" w14:textId="478BC3C5" w:rsidR="00836B17" w:rsidRDefault="00836B17" w:rsidP="00DF04BC">
      <w:pPr>
        <w:pStyle w:val="ListParagraph"/>
        <w:numPr>
          <w:ilvl w:val="0"/>
          <w:numId w:val="7"/>
        </w:numPr>
      </w:pPr>
      <w:r>
        <w:t>Three working standard solutions were prepared as follows:</w:t>
      </w:r>
      <w:r>
        <w:br/>
      </w:r>
    </w:p>
    <w:p w14:paraId="1F464F9A" w14:textId="77777777" w:rsidR="005F1B41" w:rsidRDefault="005F1B41" w:rsidP="005F1B41"/>
    <w:tbl>
      <w:tblPr>
        <w:tblStyle w:val="TableGrid"/>
        <w:tblW w:w="0" w:type="auto"/>
        <w:tblInd w:w="1440" w:type="dxa"/>
        <w:tblLook w:val="04A0" w:firstRow="1" w:lastRow="0" w:firstColumn="1" w:lastColumn="0" w:noHBand="0" w:noVBand="1"/>
      </w:tblPr>
      <w:tblGrid>
        <w:gridCol w:w="1620"/>
        <w:gridCol w:w="1765"/>
        <w:gridCol w:w="1580"/>
        <w:gridCol w:w="1816"/>
        <w:gridCol w:w="1355"/>
      </w:tblGrid>
      <w:tr w:rsidR="00836B17" w14:paraId="0E6507EF" w14:textId="77777777" w:rsidTr="005E1857">
        <w:tc>
          <w:tcPr>
            <w:tcW w:w="1620" w:type="dxa"/>
            <w:vAlign w:val="center"/>
          </w:tcPr>
          <w:p w14:paraId="290B01CC" w14:textId="77777777" w:rsidR="00836B17" w:rsidRPr="005D5A21" w:rsidRDefault="00836B17" w:rsidP="005E1857">
            <w:pPr>
              <w:pStyle w:val="ListParagraph"/>
              <w:ind w:left="0"/>
              <w:jc w:val="center"/>
              <w:rPr>
                <w:b/>
              </w:rPr>
            </w:pPr>
            <w:r w:rsidRPr="005D5A21">
              <w:rPr>
                <w:b/>
              </w:rPr>
              <w:t>Standard</w:t>
            </w:r>
          </w:p>
        </w:tc>
        <w:tc>
          <w:tcPr>
            <w:tcW w:w="1765" w:type="dxa"/>
            <w:vAlign w:val="center"/>
          </w:tcPr>
          <w:p w14:paraId="2650A702" w14:textId="7BCF232E" w:rsidR="00836B17" w:rsidRPr="005D5A21" w:rsidRDefault="00836B17" w:rsidP="00836B17">
            <w:pPr>
              <w:pStyle w:val="ListParagraph"/>
              <w:ind w:left="0"/>
              <w:jc w:val="center"/>
              <w:rPr>
                <w:b/>
              </w:rPr>
            </w:pPr>
            <w:r w:rsidRPr="005D5A21">
              <w:rPr>
                <w:b/>
              </w:rPr>
              <w:t xml:space="preserve">Volume of </w:t>
            </w:r>
            <w:r>
              <w:rPr>
                <w:b/>
              </w:rPr>
              <w:t>Formulation</w:t>
            </w:r>
            <w:r w:rsidRPr="005D5A21">
              <w:rPr>
                <w:b/>
              </w:rPr>
              <w:t>(mL)</w:t>
            </w:r>
          </w:p>
        </w:tc>
        <w:tc>
          <w:tcPr>
            <w:tcW w:w="1580" w:type="dxa"/>
            <w:vAlign w:val="center"/>
          </w:tcPr>
          <w:p w14:paraId="7F23BE88" w14:textId="77777777" w:rsidR="00836B17" w:rsidRPr="005D5A21" w:rsidRDefault="00836B17" w:rsidP="005E1857">
            <w:pPr>
              <w:pStyle w:val="ListParagraph"/>
              <w:ind w:left="0"/>
              <w:jc w:val="center"/>
              <w:rPr>
                <w:b/>
              </w:rPr>
            </w:pPr>
            <w:r w:rsidRPr="005D5A21">
              <w:rPr>
                <w:b/>
              </w:rPr>
              <w:t>Volume of ISTD Stock Solution (mL)</w:t>
            </w:r>
          </w:p>
        </w:tc>
        <w:tc>
          <w:tcPr>
            <w:tcW w:w="1816" w:type="dxa"/>
            <w:vAlign w:val="center"/>
          </w:tcPr>
          <w:p w14:paraId="19515A33" w14:textId="77777777" w:rsidR="00836B17" w:rsidRPr="005D5A21" w:rsidRDefault="00836B17" w:rsidP="005E1857">
            <w:pPr>
              <w:pStyle w:val="ListParagraph"/>
              <w:ind w:left="0"/>
              <w:jc w:val="center"/>
              <w:rPr>
                <w:b/>
              </w:rPr>
            </w:pPr>
            <w:r w:rsidRPr="005D5A21">
              <w:rPr>
                <w:b/>
              </w:rPr>
              <w:t>Volume of Stock Standard Solution(mL)</w:t>
            </w:r>
          </w:p>
        </w:tc>
        <w:tc>
          <w:tcPr>
            <w:tcW w:w="1355" w:type="dxa"/>
          </w:tcPr>
          <w:p w14:paraId="60FE147E" w14:textId="77777777" w:rsidR="00836B17" w:rsidRPr="005D5A21" w:rsidRDefault="00836B17" w:rsidP="005E1857">
            <w:pPr>
              <w:pStyle w:val="ListParagraph"/>
              <w:ind w:left="0"/>
              <w:jc w:val="center"/>
              <w:rPr>
                <w:b/>
              </w:rPr>
            </w:pPr>
            <w:r>
              <w:rPr>
                <w:b/>
              </w:rPr>
              <w:t>Volumetric Flask Size(mL)</w:t>
            </w:r>
          </w:p>
        </w:tc>
      </w:tr>
      <w:tr w:rsidR="00836B17" w14:paraId="69EFDFB8" w14:textId="77777777" w:rsidTr="005E1857">
        <w:tc>
          <w:tcPr>
            <w:tcW w:w="1620" w:type="dxa"/>
            <w:vAlign w:val="center"/>
          </w:tcPr>
          <w:p w14:paraId="54EE0D5A" w14:textId="77777777" w:rsidR="00836B17" w:rsidRPr="005D5A21" w:rsidRDefault="00836B17" w:rsidP="005E1857">
            <w:pPr>
              <w:pStyle w:val="ListParagraph"/>
              <w:ind w:left="0"/>
              <w:jc w:val="center"/>
              <w:rPr>
                <w:vertAlign w:val="subscript"/>
              </w:rPr>
            </w:pPr>
            <w:r>
              <w:t>Std</w:t>
            </w:r>
            <w:r>
              <w:rPr>
                <w:vertAlign w:val="subscript"/>
              </w:rPr>
              <w:t>1</w:t>
            </w:r>
          </w:p>
        </w:tc>
        <w:tc>
          <w:tcPr>
            <w:tcW w:w="1765" w:type="dxa"/>
            <w:vAlign w:val="center"/>
          </w:tcPr>
          <w:p w14:paraId="4B831202" w14:textId="77777777" w:rsidR="00836B17" w:rsidRDefault="00836B17" w:rsidP="005E1857">
            <w:pPr>
              <w:pStyle w:val="ListParagraph"/>
              <w:ind w:left="0"/>
              <w:jc w:val="center"/>
            </w:pPr>
            <w:r>
              <w:t>3.0</w:t>
            </w:r>
          </w:p>
        </w:tc>
        <w:tc>
          <w:tcPr>
            <w:tcW w:w="1580" w:type="dxa"/>
            <w:vAlign w:val="center"/>
          </w:tcPr>
          <w:p w14:paraId="7E56A82C" w14:textId="77777777" w:rsidR="00836B17" w:rsidRDefault="00836B17" w:rsidP="005E1857">
            <w:pPr>
              <w:pStyle w:val="ListParagraph"/>
              <w:ind w:left="0"/>
              <w:jc w:val="center"/>
            </w:pPr>
            <w:r>
              <w:t>1.0</w:t>
            </w:r>
          </w:p>
        </w:tc>
        <w:tc>
          <w:tcPr>
            <w:tcW w:w="1816" w:type="dxa"/>
            <w:vAlign w:val="center"/>
          </w:tcPr>
          <w:p w14:paraId="5D7E8AD5" w14:textId="77777777" w:rsidR="00836B17" w:rsidRDefault="00836B17" w:rsidP="005E1857">
            <w:pPr>
              <w:pStyle w:val="ListParagraph"/>
              <w:ind w:left="0"/>
              <w:jc w:val="center"/>
            </w:pPr>
            <w:r>
              <w:t>1.0</w:t>
            </w:r>
          </w:p>
        </w:tc>
        <w:tc>
          <w:tcPr>
            <w:tcW w:w="1355" w:type="dxa"/>
            <w:vAlign w:val="center"/>
          </w:tcPr>
          <w:p w14:paraId="5AA0E7F7" w14:textId="77777777" w:rsidR="00836B17" w:rsidRDefault="00836B17" w:rsidP="005E1857">
            <w:pPr>
              <w:pStyle w:val="ListParagraph"/>
              <w:ind w:left="0"/>
              <w:jc w:val="center"/>
            </w:pPr>
            <w:r>
              <w:t>20</w:t>
            </w:r>
          </w:p>
        </w:tc>
      </w:tr>
      <w:tr w:rsidR="00836B17" w14:paraId="731A2E3A" w14:textId="77777777" w:rsidTr="005E1857">
        <w:tc>
          <w:tcPr>
            <w:tcW w:w="1620" w:type="dxa"/>
            <w:vAlign w:val="center"/>
          </w:tcPr>
          <w:p w14:paraId="326692C0" w14:textId="77777777" w:rsidR="00836B17" w:rsidRPr="005D5A21" w:rsidRDefault="00836B17" w:rsidP="005E1857">
            <w:pPr>
              <w:pStyle w:val="ListParagraph"/>
              <w:ind w:left="0"/>
              <w:jc w:val="center"/>
              <w:rPr>
                <w:vertAlign w:val="subscript"/>
              </w:rPr>
            </w:pPr>
            <w:r>
              <w:t>Std</w:t>
            </w:r>
            <w:r>
              <w:rPr>
                <w:vertAlign w:val="subscript"/>
              </w:rPr>
              <w:t>2</w:t>
            </w:r>
          </w:p>
        </w:tc>
        <w:tc>
          <w:tcPr>
            <w:tcW w:w="1765" w:type="dxa"/>
            <w:vAlign w:val="center"/>
          </w:tcPr>
          <w:p w14:paraId="2418A1B9" w14:textId="77777777" w:rsidR="00836B17" w:rsidRDefault="00836B17" w:rsidP="005E1857">
            <w:pPr>
              <w:pStyle w:val="ListParagraph"/>
              <w:ind w:left="0"/>
              <w:jc w:val="center"/>
            </w:pPr>
            <w:r>
              <w:t>3.0</w:t>
            </w:r>
          </w:p>
        </w:tc>
        <w:tc>
          <w:tcPr>
            <w:tcW w:w="1580" w:type="dxa"/>
            <w:vAlign w:val="center"/>
          </w:tcPr>
          <w:p w14:paraId="6001051B" w14:textId="77777777" w:rsidR="00836B17" w:rsidRDefault="00836B17" w:rsidP="005E1857">
            <w:pPr>
              <w:pStyle w:val="ListParagraph"/>
              <w:ind w:left="0"/>
              <w:jc w:val="center"/>
            </w:pPr>
            <w:r>
              <w:t>1.0</w:t>
            </w:r>
          </w:p>
        </w:tc>
        <w:tc>
          <w:tcPr>
            <w:tcW w:w="1816" w:type="dxa"/>
            <w:vAlign w:val="center"/>
          </w:tcPr>
          <w:p w14:paraId="222DC0EA" w14:textId="77777777" w:rsidR="00836B17" w:rsidRDefault="00836B17" w:rsidP="005E1857">
            <w:pPr>
              <w:pStyle w:val="ListParagraph"/>
              <w:ind w:left="0"/>
              <w:jc w:val="center"/>
            </w:pPr>
            <w:r>
              <w:t>3.0</w:t>
            </w:r>
          </w:p>
        </w:tc>
        <w:tc>
          <w:tcPr>
            <w:tcW w:w="1355" w:type="dxa"/>
            <w:vAlign w:val="center"/>
          </w:tcPr>
          <w:p w14:paraId="504E9E42" w14:textId="77777777" w:rsidR="00836B17" w:rsidRDefault="00836B17" w:rsidP="005E1857">
            <w:pPr>
              <w:pStyle w:val="ListParagraph"/>
              <w:ind w:left="0"/>
              <w:jc w:val="center"/>
            </w:pPr>
            <w:r>
              <w:t>20</w:t>
            </w:r>
          </w:p>
        </w:tc>
      </w:tr>
      <w:tr w:rsidR="00836B17" w14:paraId="28F4847F" w14:textId="77777777" w:rsidTr="005E1857">
        <w:tc>
          <w:tcPr>
            <w:tcW w:w="1620" w:type="dxa"/>
            <w:vAlign w:val="center"/>
          </w:tcPr>
          <w:p w14:paraId="4E6C689F" w14:textId="77777777" w:rsidR="00836B17" w:rsidRPr="005D5A21" w:rsidRDefault="00836B17" w:rsidP="005E1857">
            <w:pPr>
              <w:pStyle w:val="ListParagraph"/>
              <w:ind w:left="0"/>
              <w:jc w:val="center"/>
              <w:rPr>
                <w:vertAlign w:val="subscript"/>
              </w:rPr>
            </w:pPr>
            <w:r>
              <w:t>Std</w:t>
            </w:r>
            <w:r>
              <w:rPr>
                <w:vertAlign w:val="subscript"/>
              </w:rPr>
              <w:t>3</w:t>
            </w:r>
          </w:p>
        </w:tc>
        <w:tc>
          <w:tcPr>
            <w:tcW w:w="1765" w:type="dxa"/>
            <w:vAlign w:val="center"/>
          </w:tcPr>
          <w:p w14:paraId="2FF677DA" w14:textId="77777777" w:rsidR="00836B17" w:rsidRDefault="00836B17" w:rsidP="005E1857">
            <w:pPr>
              <w:pStyle w:val="ListParagraph"/>
              <w:ind w:left="0"/>
              <w:jc w:val="center"/>
            </w:pPr>
            <w:r>
              <w:t>3.0</w:t>
            </w:r>
          </w:p>
        </w:tc>
        <w:tc>
          <w:tcPr>
            <w:tcW w:w="1580" w:type="dxa"/>
            <w:vAlign w:val="center"/>
          </w:tcPr>
          <w:p w14:paraId="1D60A2BD" w14:textId="77777777" w:rsidR="00836B17" w:rsidRDefault="00836B17" w:rsidP="005E1857">
            <w:pPr>
              <w:pStyle w:val="ListParagraph"/>
              <w:ind w:left="0"/>
              <w:jc w:val="center"/>
            </w:pPr>
            <w:r>
              <w:t>1.0</w:t>
            </w:r>
          </w:p>
        </w:tc>
        <w:tc>
          <w:tcPr>
            <w:tcW w:w="1816" w:type="dxa"/>
            <w:vAlign w:val="center"/>
          </w:tcPr>
          <w:p w14:paraId="1F4FFD83" w14:textId="77777777" w:rsidR="00836B17" w:rsidRDefault="00836B17" w:rsidP="005E1857">
            <w:pPr>
              <w:pStyle w:val="ListParagraph"/>
              <w:ind w:left="0"/>
              <w:jc w:val="center"/>
            </w:pPr>
            <w:r>
              <w:t>5.0</w:t>
            </w:r>
          </w:p>
        </w:tc>
        <w:tc>
          <w:tcPr>
            <w:tcW w:w="1355" w:type="dxa"/>
            <w:vAlign w:val="center"/>
          </w:tcPr>
          <w:p w14:paraId="5ABD3DB1" w14:textId="77777777" w:rsidR="00836B17" w:rsidRDefault="00836B17" w:rsidP="005E1857">
            <w:pPr>
              <w:pStyle w:val="ListParagraph"/>
              <w:ind w:left="0"/>
              <w:jc w:val="center"/>
            </w:pPr>
            <w:r>
              <w:t>20</w:t>
            </w:r>
          </w:p>
        </w:tc>
      </w:tr>
    </w:tbl>
    <w:p w14:paraId="0E75377A" w14:textId="268FBC9A" w:rsidR="00DF04BC" w:rsidRDefault="00836B17" w:rsidP="00836B17">
      <w:pPr>
        <w:pStyle w:val="ListParagraph"/>
        <w:ind w:left="2520"/>
      </w:pPr>
      <w:r>
        <w:br/>
        <w:t>Each of the respective components was added into a common 20mL volumetric flask, for each standard, and diluted to volume with acetone.</w:t>
      </w:r>
    </w:p>
    <w:p w14:paraId="1687F3AE" w14:textId="734325C7" w:rsidR="00836B17" w:rsidRDefault="00836B17" w:rsidP="00DF04BC">
      <w:pPr>
        <w:pStyle w:val="ListParagraph"/>
        <w:numPr>
          <w:ilvl w:val="0"/>
          <w:numId w:val="7"/>
        </w:numPr>
      </w:pPr>
      <w:r>
        <w:t>Samples were prepared by adding 3.0mL of formulation and 1.0mL of ISTD Stock Solution into a common 20mL volumetric flask, then diluting to volume with acetone.</w:t>
      </w:r>
    </w:p>
    <w:p w14:paraId="720D2838" w14:textId="1BF050DF" w:rsidR="00836B17" w:rsidRDefault="00836B17" w:rsidP="00DF04BC">
      <w:pPr>
        <w:pStyle w:val="ListParagraph"/>
        <w:numPr>
          <w:ilvl w:val="0"/>
          <w:numId w:val="7"/>
        </w:numPr>
      </w:pPr>
      <w:r>
        <w:t>Linearity was determined by plotting the sample solution as well as all three standard solutions on the same graph with the following parameters:</w:t>
      </w:r>
      <w:r>
        <w:br/>
        <w:t>X-Axis: Volume of Stock Standard solution added (0, 1, 3, and 5 respectively)</w:t>
      </w:r>
      <w:r>
        <w:br/>
        <w:t>Y-Axis: Response factor (taken as a ratio of Prallethrin Response/ISTD Response)</w:t>
      </w:r>
    </w:p>
    <w:p w14:paraId="1CC91995" w14:textId="7BCF8110" w:rsidR="00395EC6" w:rsidRDefault="00836B17" w:rsidP="00395EC6">
      <w:pPr>
        <w:pStyle w:val="ListParagraph"/>
        <w:numPr>
          <w:ilvl w:val="0"/>
          <w:numId w:val="7"/>
        </w:numPr>
      </w:pPr>
      <w:r>
        <w:t>Quantification was determined using the slope and y-intercept of the linear plot using the following equation:</w:t>
      </w:r>
      <w:r w:rsidR="00BA5D11">
        <w:br/>
      </w:r>
      <w:r w:rsidR="00BA5D11">
        <w:br/>
      </w:r>
      <w:proofErr w:type="spellStart"/>
      <w:r w:rsidRPr="00836B17">
        <w:rPr>
          <w:i/>
        </w:rPr>
        <w:t>C</w:t>
      </w:r>
      <w:r w:rsidRPr="00836B17">
        <w:rPr>
          <w:i/>
          <w:vertAlign w:val="subscript"/>
        </w:rPr>
        <w:t>x</w:t>
      </w:r>
      <w:proofErr w:type="spellEnd"/>
      <w:r>
        <w:t xml:space="preserve"> = (</w:t>
      </w:r>
      <w:r>
        <w:rPr>
          <w:i/>
        </w:rPr>
        <w:t xml:space="preserve">b </w:t>
      </w:r>
      <w:r>
        <w:t xml:space="preserve"> * </w:t>
      </w:r>
      <w:r>
        <w:rPr>
          <w:i/>
        </w:rPr>
        <w:t>C</w:t>
      </w:r>
      <w:r>
        <w:rPr>
          <w:i/>
          <w:vertAlign w:val="subscript"/>
        </w:rPr>
        <w:t>s</w:t>
      </w:r>
      <w:r>
        <w:t>) / (</w:t>
      </w:r>
      <w:r>
        <w:rPr>
          <w:i/>
        </w:rPr>
        <w:t>m</w:t>
      </w:r>
      <w:r>
        <w:t xml:space="preserve"> * </w:t>
      </w:r>
      <w:proofErr w:type="spellStart"/>
      <w:r>
        <w:rPr>
          <w:i/>
        </w:rPr>
        <w:t>V</w:t>
      </w:r>
      <w:r>
        <w:rPr>
          <w:i/>
          <w:vertAlign w:val="subscript"/>
        </w:rPr>
        <w:t>x</w:t>
      </w:r>
      <w:proofErr w:type="spellEnd"/>
      <w:r>
        <w:rPr>
          <w:i/>
        </w:rPr>
        <w:t>)</w:t>
      </w:r>
      <w:r>
        <w:rPr>
          <w:i/>
        </w:rPr>
        <w:br/>
      </w:r>
      <w:r w:rsidR="004A6003">
        <w:br/>
      </w:r>
      <w:proofErr w:type="spellStart"/>
      <w:r w:rsidR="004A6003">
        <w:t>Prallethrin</w:t>
      </w:r>
      <w:proofErr w:type="spellEnd"/>
      <w:r>
        <w:t xml:space="preserve"> Content (g/kg) = </w:t>
      </w:r>
      <w:proofErr w:type="spellStart"/>
      <w:r>
        <w:rPr>
          <w:i/>
        </w:rPr>
        <w:t>C</w:t>
      </w:r>
      <w:r>
        <w:rPr>
          <w:i/>
          <w:vertAlign w:val="subscript"/>
        </w:rPr>
        <w:t>x</w:t>
      </w:r>
      <w:proofErr w:type="spellEnd"/>
      <w:r>
        <w:t xml:space="preserve"> / </w:t>
      </w:r>
      <w:r w:rsidR="00395EC6" w:rsidRPr="00395EC6">
        <w:rPr>
          <w:i/>
        </w:rPr>
        <w:t>1.14</w:t>
      </w:r>
      <w:r w:rsidRPr="00395EC6">
        <w:rPr>
          <w:i/>
        </w:rPr>
        <w:t xml:space="preserve"> g/mL</w:t>
      </w:r>
      <w:r>
        <w:t xml:space="preserve"> </w:t>
      </w:r>
      <w:r w:rsidR="00BA5D11">
        <w:t xml:space="preserve"> </w:t>
      </w:r>
      <w:r w:rsidR="00BA5D11">
        <w:br/>
      </w:r>
      <w:r w:rsidR="00BA5D11">
        <w:br/>
        <w:t>Where:</w:t>
      </w:r>
      <w:r w:rsidR="00BA5D11">
        <w:br/>
      </w:r>
      <w:proofErr w:type="spellStart"/>
      <w:r w:rsidR="00395EC6">
        <w:rPr>
          <w:i/>
        </w:rPr>
        <w:t>C</w:t>
      </w:r>
      <w:r w:rsidR="00395EC6">
        <w:rPr>
          <w:i/>
          <w:vertAlign w:val="subscript"/>
        </w:rPr>
        <w:t>x</w:t>
      </w:r>
      <w:proofErr w:type="spellEnd"/>
      <w:r w:rsidR="00BA5D11">
        <w:t xml:space="preserve"> = </w:t>
      </w:r>
      <w:r w:rsidR="00395EC6">
        <w:t xml:space="preserve">Concentration of </w:t>
      </w:r>
      <w:proofErr w:type="spellStart"/>
      <w:r w:rsidR="00395EC6">
        <w:t>Prallethrin</w:t>
      </w:r>
      <w:proofErr w:type="spellEnd"/>
      <w:r w:rsidR="00395EC6">
        <w:t xml:space="preserve"> in sample solution (mg/mL)</w:t>
      </w:r>
      <w:r w:rsidR="00BA5D11">
        <w:br/>
      </w:r>
      <w:r w:rsidR="00395EC6">
        <w:rPr>
          <w:i/>
        </w:rPr>
        <w:t>b</w:t>
      </w:r>
      <w:r w:rsidR="00BA5D11">
        <w:t xml:space="preserve"> = </w:t>
      </w:r>
      <w:r w:rsidR="00395EC6">
        <w:t>Y-intercept from linearity plot</w:t>
      </w:r>
      <w:r w:rsidR="00BA5D11">
        <w:br/>
      </w:r>
      <w:r w:rsidR="00395EC6">
        <w:rPr>
          <w:i/>
        </w:rPr>
        <w:t>C</w:t>
      </w:r>
      <w:r w:rsidR="00395EC6">
        <w:rPr>
          <w:i/>
          <w:vertAlign w:val="subscript"/>
        </w:rPr>
        <w:t>s</w:t>
      </w:r>
      <w:r w:rsidR="00BA5D11" w:rsidRPr="00836B17">
        <w:rPr>
          <w:i/>
        </w:rPr>
        <w:t xml:space="preserve"> = </w:t>
      </w:r>
      <w:r w:rsidR="00395EC6">
        <w:t>Concentration of Stock Standard (mg/mL)</w:t>
      </w:r>
      <w:r w:rsidR="00BA5D11">
        <w:br/>
      </w:r>
      <w:r w:rsidR="00395EC6">
        <w:rPr>
          <w:i/>
        </w:rPr>
        <w:t>m</w:t>
      </w:r>
      <w:r w:rsidR="00BA5D11">
        <w:t xml:space="preserve"> = </w:t>
      </w:r>
      <w:r w:rsidR="00395EC6">
        <w:t>Slope from linearity plot</w:t>
      </w:r>
      <w:r w:rsidR="00BA5D11">
        <w:br/>
      </w:r>
      <w:proofErr w:type="spellStart"/>
      <w:r w:rsidR="00395EC6">
        <w:rPr>
          <w:i/>
        </w:rPr>
        <w:t>V</w:t>
      </w:r>
      <w:r w:rsidR="00395EC6">
        <w:rPr>
          <w:i/>
          <w:vertAlign w:val="subscript"/>
        </w:rPr>
        <w:t>x</w:t>
      </w:r>
      <w:proofErr w:type="spellEnd"/>
      <w:r w:rsidR="00BA5D11">
        <w:t xml:space="preserve"> = </w:t>
      </w:r>
      <w:r w:rsidR="00395EC6">
        <w:t>Volume of Formulation used (mL)</w:t>
      </w:r>
      <w:r w:rsidR="00BA5D11">
        <w:br/>
      </w:r>
      <w:r w:rsidR="00395EC6">
        <w:rPr>
          <w:i/>
        </w:rPr>
        <w:t>1.14 g/mL</w:t>
      </w:r>
      <w:r w:rsidR="00BA5D11">
        <w:t xml:space="preserve"> = </w:t>
      </w:r>
      <w:r w:rsidR="00395EC6">
        <w:t>Density of formulation</w:t>
      </w:r>
      <w:r w:rsidR="00395EC6">
        <w:br/>
      </w:r>
    </w:p>
    <w:p w14:paraId="73805B1B" w14:textId="77777777" w:rsidR="00BB718C" w:rsidRDefault="00BB718C">
      <w:pPr>
        <w:rPr>
          <w:b/>
        </w:rPr>
      </w:pPr>
      <w:r>
        <w:rPr>
          <w:b/>
        </w:rPr>
        <w:br w:type="page"/>
      </w:r>
    </w:p>
    <w:p w14:paraId="3BBEBC92" w14:textId="51779447" w:rsidR="00395EC6" w:rsidRPr="00BA5D11" w:rsidRDefault="005F1B41" w:rsidP="00395EC6">
      <w:pPr>
        <w:pStyle w:val="ListParagraph"/>
        <w:numPr>
          <w:ilvl w:val="1"/>
          <w:numId w:val="2"/>
        </w:numPr>
      </w:pPr>
      <w:r>
        <w:rPr>
          <w:b/>
        </w:rPr>
        <w:lastRenderedPageBreak/>
        <w:t>Validation Study (Step 5)</w:t>
      </w:r>
      <w:r>
        <w:rPr>
          <w:b/>
        </w:rPr>
        <w:br/>
      </w:r>
      <w:r w:rsidR="00BA5D11">
        <w:rPr>
          <w:b/>
        </w:rPr>
        <w:br/>
      </w:r>
      <w:r w:rsidR="00BA5D11">
        <w:t xml:space="preserve">Linearity, specificity, </w:t>
      </w:r>
      <w:r w:rsidR="00730701">
        <w:t xml:space="preserve">and </w:t>
      </w:r>
      <w:r w:rsidR="00BA5D11">
        <w:t>precision</w:t>
      </w:r>
      <w:r w:rsidR="00730701">
        <w:t xml:space="preserve"> tests</w:t>
      </w:r>
      <w:r w:rsidR="00BA5D11">
        <w:t xml:space="preserve"> were conducted.</w:t>
      </w:r>
      <w:r>
        <w:br/>
      </w:r>
    </w:p>
    <w:p w14:paraId="7892CC7E" w14:textId="77777777" w:rsidR="004A6003" w:rsidRDefault="00BA5D11" w:rsidP="00BA5D11">
      <w:pPr>
        <w:pStyle w:val="ListParagraph"/>
        <w:numPr>
          <w:ilvl w:val="2"/>
          <w:numId w:val="2"/>
        </w:numPr>
      </w:pPr>
      <w:r>
        <w:rPr>
          <w:b/>
        </w:rPr>
        <w:t>Linearity</w:t>
      </w:r>
      <w:r>
        <w:rPr>
          <w:b/>
        </w:rPr>
        <w:br/>
      </w:r>
      <w:r>
        <w:rPr>
          <w:b/>
        </w:rPr>
        <w:br/>
      </w:r>
      <w:r w:rsidR="00395EC6">
        <w:t>Linearity was determined by plotting the ratio of Prallethrin Response/ISTD Response on the Y-Axis and the volume of stock standard solution added to the sample and the three standards on the X-Axis</w:t>
      </w:r>
      <w:r>
        <w:t>. The correlation coefficient (R</w:t>
      </w:r>
      <w:r>
        <w:rPr>
          <w:vertAlign w:val="superscript"/>
        </w:rPr>
        <w:t>2</w:t>
      </w:r>
      <w:r>
        <w:t xml:space="preserve">) for this curve was </w:t>
      </w:r>
      <w:r>
        <w:rPr>
          <w:rFonts w:cstheme="minorHAnsi"/>
        </w:rPr>
        <w:t>≥</w:t>
      </w:r>
      <w:r>
        <w:t xml:space="preserve"> 0.99 thus the instrument is able to prove linearity of </w:t>
      </w:r>
      <w:proofErr w:type="spellStart"/>
      <w:r>
        <w:t>prallethrin</w:t>
      </w:r>
      <w:proofErr w:type="spellEnd"/>
      <w:r>
        <w:t xml:space="preserve"> analysis.</w:t>
      </w:r>
      <w:r w:rsidR="004A6003">
        <w:br/>
      </w:r>
    </w:p>
    <w:p w14:paraId="0141F546" w14:textId="32BBFFB4" w:rsidR="00BA5D11" w:rsidRDefault="004A6003" w:rsidP="004A6003">
      <w:r>
        <w:rPr>
          <w:noProof/>
        </w:rPr>
        <w:drawing>
          <wp:inline distT="0" distB="0" distL="0" distR="0" wp14:anchorId="14BFF24F" wp14:editId="1E048336">
            <wp:extent cx="5943600" cy="3703955"/>
            <wp:effectExtent l="0" t="0" r="1905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A5D11" w:rsidRPr="004A6003">
        <w:rPr>
          <w:b/>
        </w:rPr>
        <w:br/>
      </w:r>
    </w:p>
    <w:p w14:paraId="5A6B2B89" w14:textId="2AA0C7FA" w:rsidR="00BA5D11" w:rsidRDefault="00BA5D11" w:rsidP="00BA5D11">
      <w:pPr>
        <w:pStyle w:val="ListParagraph"/>
        <w:numPr>
          <w:ilvl w:val="2"/>
          <w:numId w:val="2"/>
        </w:numPr>
      </w:pPr>
      <w:r>
        <w:rPr>
          <w:b/>
        </w:rPr>
        <w:t>Specificity</w:t>
      </w:r>
      <w:r>
        <w:rPr>
          <w:b/>
        </w:rPr>
        <w:br/>
      </w:r>
      <w:r>
        <w:rPr>
          <w:b/>
        </w:rPr>
        <w:br/>
      </w:r>
      <w:r>
        <w:t xml:space="preserve">The sample solutions and a blank solution were prepared identically. A comparative (refer to chromatogram figures) evaluation of the sample solution, blank solution, and the standard solution show that there is no interference with the analysis of prallethrin. </w:t>
      </w:r>
    </w:p>
    <w:p w14:paraId="4788E4D3" w14:textId="77777777" w:rsidR="00920316" w:rsidRPr="00BA5D11" w:rsidRDefault="00920316" w:rsidP="00920316">
      <w:pPr>
        <w:pStyle w:val="ListParagraph"/>
        <w:ind w:left="2160"/>
      </w:pPr>
    </w:p>
    <w:p w14:paraId="64ED5933" w14:textId="7811EB88" w:rsidR="00395EC6" w:rsidRPr="00A1095D" w:rsidRDefault="00BA5D11" w:rsidP="00395EC6">
      <w:pPr>
        <w:pStyle w:val="ListParagraph"/>
        <w:numPr>
          <w:ilvl w:val="2"/>
          <w:numId w:val="2"/>
        </w:numPr>
        <w:rPr>
          <w:b/>
        </w:rPr>
      </w:pPr>
      <w:r>
        <w:rPr>
          <w:b/>
        </w:rPr>
        <w:lastRenderedPageBreak/>
        <w:t>Precision</w:t>
      </w:r>
      <w:r w:rsidR="00730701">
        <w:rPr>
          <w:b/>
        </w:rPr>
        <w:t xml:space="preserve"> (repeatability, r)</w:t>
      </w:r>
      <w:r w:rsidR="00044868">
        <w:rPr>
          <w:b/>
        </w:rPr>
        <w:br/>
      </w:r>
      <w:r w:rsidR="00044868">
        <w:rPr>
          <w:b/>
        </w:rPr>
        <w:br/>
      </w:r>
      <w:r w:rsidR="00044868">
        <w:t xml:space="preserve">The UL sample was prepared in 5 replicates (5 separate sub samples) and analyzed according to the specified chromatographic conditions with the exception of the modifications listed above in </w:t>
      </w:r>
      <w:r w:rsidR="00044868">
        <w:rPr>
          <w:b/>
        </w:rPr>
        <w:t>3(C)</w:t>
      </w:r>
      <w:r w:rsidR="00044868">
        <w:t>. Per the Horwitz equation, the acceptable %RSD for a sample with a nominal 0.75% concentration is as follows:</w:t>
      </w:r>
      <w:r w:rsidR="00044868">
        <w:br/>
      </w:r>
      <w:r w:rsidR="00044868">
        <w:br/>
      </w:r>
      <w:r w:rsidR="00395EC6">
        <w:t>%RSD = 2</w:t>
      </w:r>
      <w:r w:rsidR="00395EC6">
        <w:rPr>
          <w:vertAlign w:val="superscript"/>
        </w:rPr>
        <w:t>(1-0.5*log(C))</w:t>
      </w:r>
      <w:r w:rsidR="00044868">
        <w:br/>
      </w:r>
      <w:r w:rsidR="00044868">
        <w:br/>
        <w:t>C = concentration of analyte expressed as a decimal</w:t>
      </w:r>
      <w:r w:rsidR="00044868">
        <w:br/>
      </w:r>
      <w:r w:rsidR="00044868">
        <w:br/>
        <w:t xml:space="preserve">For a 0.75% concentration, this equates to (2 </w:t>
      </w:r>
      <w:r w:rsidR="00582164">
        <w:rPr>
          <w:vertAlign w:val="superscript"/>
        </w:rPr>
        <w:t>(1-0.5*log(0.0075))</w:t>
      </w:r>
      <w:r w:rsidR="00044868">
        <w:t>)</w:t>
      </w:r>
      <w:r w:rsidR="00122380">
        <w:t xml:space="preserve"> which is</w:t>
      </w:r>
      <w:r w:rsidR="00044868">
        <w:t xml:space="preserve"> 4.1</w:t>
      </w:r>
      <w:r w:rsidR="00395EC6">
        <w:t>8</w:t>
      </w:r>
      <w:r w:rsidR="00044868">
        <w:t xml:space="preserve">%. As shown in the table below, the repeatability of this method was satisfactory </w:t>
      </w:r>
      <w:r w:rsidR="00395EC6">
        <w:t xml:space="preserve">with a %RSD of 1.39% for Lab 1 and </w:t>
      </w:r>
      <w:r w:rsidR="004A6003">
        <w:t>1.73% for Lab 2.</w:t>
      </w:r>
    </w:p>
    <w:tbl>
      <w:tblPr>
        <w:tblStyle w:val="TableGrid"/>
        <w:tblW w:w="0" w:type="auto"/>
        <w:tblInd w:w="2160" w:type="dxa"/>
        <w:tblLook w:val="04A0" w:firstRow="1" w:lastRow="0" w:firstColumn="1" w:lastColumn="0" w:noHBand="0" w:noVBand="1"/>
      </w:tblPr>
      <w:tblGrid>
        <w:gridCol w:w="2562"/>
        <w:gridCol w:w="2634"/>
        <w:gridCol w:w="2220"/>
      </w:tblGrid>
      <w:tr w:rsidR="00A1095D" w14:paraId="4E0B6FA8" w14:textId="52B3B2AC" w:rsidTr="00A1095D">
        <w:tc>
          <w:tcPr>
            <w:tcW w:w="2562" w:type="dxa"/>
          </w:tcPr>
          <w:p w14:paraId="0D9740C4" w14:textId="59B70974" w:rsidR="00A1095D" w:rsidRPr="00044868" w:rsidRDefault="00A1095D" w:rsidP="00044868">
            <w:pPr>
              <w:jc w:val="center"/>
              <w:rPr>
                <w:b/>
              </w:rPr>
            </w:pPr>
            <w:r>
              <w:rPr>
                <w:b/>
              </w:rPr>
              <w:t>Lab 1 - Replicate</w:t>
            </w:r>
          </w:p>
        </w:tc>
        <w:tc>
          <w:tcPr>
            <w:tcW w:w="2634" w:type="dxa"/>
          </w:tcPr>
          <w:p w14:paraId="7E9C523A" w14:textId="7906926E" w:rsidR="00A1095D" w:rsidRPr="00044868" w:rsidRDefault="00A1095D" w:rsidP="00044868">
            <w:pPr>
              <w:jc w:val="center"/>
              <w:rPr>
                <w:b/>
              </w:rPr>
            </w:pPr>
            <w:r>
              <w:rPr>
                <w:b/>
              </w:rPr>
              <w:t>Prallethrin Content (g/kg)</w:t>
            </w:r>
          </w:p>
        </w:tc>
        <w:tc>
          <w:tcPr>
            <w:tcW w:w="2220" w:type="dxa"/>
          </w:tcPr>
          <w:p w14:paraId="52DA54AA" w14:textId="7A782B07" w:rsidR="00A1095D" w:rsidRDefault="00A1095D" w:rsidP="00044868">
            <w:pPr>
              <w:jc w:val="center"/>
              <w:rPr>
                <w:b/>
              </w:rPr>
            </w:pPr>
            <w:r>
              <w:rPr>
                <w:b/>
              </w:rPr>
              <w:t>% Recovery</w:t>
            </w:r>
          </w:p>
        </w:tc>
      </w:tr>
      <w:tr w:rsidR="00A1095D" w14:paraId="3832C48A" w14:textId="1CEED1FB" w:rsidTr="00A95303">
        <w:tc>
          <w:tcPr>
            <w:tcW w:w="2562" w:type="dxa"/>
          </w:tcPr>
          <w:p w14:paraId="27C77226" w14:textId="77777777" w:rsidR="00A1095D" w:rsidRPr="00044868" w:rsidRDefault="00A1095D" w:rsidP="00044868">
            <w:pPr>
              <w:jc w:val="center"/>
            </w:pPr>
            <w:r w:rsidRPr="00044868">
              <w:t>1</w:t>
            </w:r>
          </w:p>
        </w:tc>
        <w:tc>
          <w:tcPr>
            <w:tcW w:w="2634" w:type="dxa"/>
            <w:vAlign w:val="center"/>
          </w:tcPr>
          <w:p w14:paraId="2972E7C9" w14:textId="27DE9B1E" w:rsidR="00A1095D" w:rsidRPr="00044868" w:rsidRDefault="00A1095D" w:rsidP="00044868">
            <w:pPr>
              <w:jc w:val="center"/>
            </w:pPr>
            <w:r>
              <w:rPr>
                <w:rFonts w:ascii="Calibri" w:hAnsi="Calibri" w:cs="Calibri"/>
                <w:color w:val="000000"/>
              </w:rPr>
              <w:t>7.68</w:t>
            </w:r>
          </w:p>
        </w:tc>
        <w:tc>
          <w:tcPr>
            <w:tcW w:w="2220" w:type="dxa"/>
            <w:vAlign w:val="center"/>
          </w:tcPr>
          <w:p w14:paraId="10FA43F5" w14:textId="21F18BB7" w:rsidR="00A1095D" w:rsidRDefault="00A1095D" w:rsidP="00044868">
            <w:pPr>
              <w:jc w:val="center"/>
            </w:pPr>
            <w:r>
              <w:rPr>
                <w:rFonts w:ascii="Calibri" w:hAnsi="Calibri" w:cs="Calibri"/>
                <w:color w:val="000000"/>
              </w:rPr>
              <w:t>102.4</w:t>
            </w:r>
          </w:p>
        </w:tc>
      </w:tr>
      <w:tr w:rsidR="00A1095D" w14:paraId="6CE89A23" w14:textId="6C0DC333" w:rsidTr="00A95303">
        <w:tc>
          <w:tcPr>
            <w:tcW w:w="2562" w:type="dxa"/>
          </w:tcPr>
          <w:p w14:paraId="0EAAB6A8" w14:textId="77777777" w:rsidR="00A1095D" w:rsidRPr="00044868" w:rsidRDefault="00A1095D" w:rsidP="00044868">
            <w:pPr>
              <w:jc w:val="center"/>
            </w:pPr>
            <w:r w:rsidRPr="00044868">
              <w:t>2</w:t>
            </w:r>
          </w:p>
        </w:tc>
        <w:tc>
          <w:tcPr>
            <w:tcW w:w="2634" w:type="dxa"/>
            <w:vAlign w:val="center"/>
          </w:tcPr>
          <w:p w14:paraId="462DFA50" w14:textId="4A89BFB3" w:rsidR="00A1095D" w:rsidRPr="00044868" w:rsidRDefault="00A1095D" w:rsidP="00044868">
            <w:pPr>
              <w:jc w:val="center"/>
            </w:pPr>
            <w:r>
              <w:rPr>
                <w:rFonts w:ascii="Calibri" w:hAnsi="Calibri" w:cs="Calibri"/>
                <w:color w:val="000000"/>
              </w:rPr>
              <w:t>7.58</w:t>
            </w:r>
          </w:p>
        </w:tc>
        <w:tc>
          <w:tcPr>
            <w:tcW w:w="2220" w:type="dxa"/>
            <w:vAlign w:val="center"/>
          </w:tcPr>
          <w:p w14:paraId="67067A61" w14:textId="218C162A" w:rsidR="00A1095D" w:rsidRDefault="00A1095D" w:rsidP="00044868">
            <w:pPr>
              <w:jc w:val="center"/>
            </w:pPr>
            <w:r>
              <w:rPr>
                <w:rFonts w:ascii="Calibri" w:hAnsi="Calibri" w:cs="Calibri"/>
                <w:color w:val="000000"/>
              </w:rPr>
              <w:t>101.0</w:t>
            </w:r>
          </w:p>
        </w:tc>
      </w:tr>
      <w:tr w:rsidR="00A1095D" w14:paraId="3B5B280A" w14:textId="7E91C901" w:rsidTr="00A95303">
        <w:tc>
          <w:tcPr>
            <w:tcW w:w="2562" w:type="dxa"/>
          </w:tcPr>
          <w:p w14:paraId="326E3111" w14:textId="77777777" w:rsidR="00A1095D" w:rsidRPr="00044868" w:rsidRDefault="00A1095D" w:rsidP="00044868">
            <w:pPr>
              <w:jc w:val="center"/>
            </w:pPr>
            <w:r w:rsidRPr="00044868">
              <w:t>3</w:t>
            </w:r>
          </w:p>
        </w:tc>
        <w:tc>
          <w:tcPr>
            <w:tcW w:w="2634" w:type="dxa"/>
            <w:vAlign w:val="center"/>
          </w:tcPr>
          <w:p w14:paraId="485D38DC" w14:textId="163AFE76" w:rsidR="00A1095D" w:rsidRPr="00044868" w:rsidRDefault="00A1095D" w:rsidP="00044868">
            <w:pPr>
              <w:jc w:val="center"/>
            </w:pPr>
            <w:r>
              <w:rPr>
                <w:rFonts w:ascii="Calibri" w:hAnsi="Calibri" w:cs="Calibri"/>
                <w:color w:val="000000"/>
              </w:rPr>
              <w:t>7.66</w:t>
            </w:r>
          </w:p>
        </w:tc>
        <w:tc>
          <w:tcPr>
            <w:tcW w:w="2220" w:type="dxa"/>
            <w:vAlign w:val="center"/>
          </w:tcPr>
          <w:p w14:paraId="39D92F8A" w14:textId="7040A6FE" w:rsidR="00A1095D" w:rsidRDefault="00A1095D" w:rsidP="00044868">
            <w:pPr>
              <w:jc w:val="center"/>
            </w:pPr>
            <w:r>
              <w:rPr>
                <w:rFonts w:ascii="Calibri" w:hAnsi="Calibri" w:cs="Calibri"/>
                <w:color w:val="000000"/>
              </w:rPr>
              <w:t>102.1</w:t>
            </w:r>
          </w:p>
        </w:tc>
      </w:tr>
      <w:tr w:rsidR="00A1095D" w14:paraId="7B732FBE" w14:textId="5C01847E" w:rsidTr="00A95303">
        <w:tc>
          <w:tcPr>
            <w:tcW w:w="2562" w:type="dxa"/>
          </w:tcPr>
          <w:p w14:paraId="331BD27D" w14:textId="77777777" w:rsidR="00A1095D" w:rsidRPr="00044868" w:rsidRDefault="00A1095D" w:rsidP="00044868">
            <w:pPr>
              <w:jc w:val="center"/>
            </w:pPr>
            <w:r w:rsidRPr="00044868">
              <w:t>4</w:t>
            </w:r>
          </w:p>
        </w:tc>
        <w:tc>
          <w:tcPr>
            <w:tcW w:w="2634" w:type="dxa"/>
            <w:vAlign w:val="center"/>
          </w:tcPr>
          <w:p w14:paraId="4D66CA7E" w14:textId="7B534BF7" w:rsidR="00A1095D" w:rsidRPr="00044868" w:rsidRDefault="00A1095D" w:rsidP="00044868">
            <w:pPr>
              <w:jc w:val="center"/>
            </w:pPr>
            <w:r>
              <w:rPr>
                <w:rFonts w:ascii="Calibri" w:hAnsi="Calibri" w:cs="Calibri"/>
                <w:color w:val="000000"/>
              </w:rPr>
              <w:t>7.70</w:t>
            </w:r>
          </w:p>
        </w:tc>
        <w:tc>
          <w:tcPr>
            <w:tcW w:w="2220" w:type="dxa"/>
            <w:vAlign w:val="center"/>
          </w:tcPr>
          <w:p w14:paraId="4144BAED" w14:textId="45963FF0" w:rsidR="00A1095D" w:rsidRDefault="00A1095D" w:rsidP="00044868">
            <w:pPr>
              <w:jc w:val="center"/>
            </w:pPr>
            <w:r>
              <w:rPr>
                <w:rFonts w:ascii="Calibri" w:hAnsi="Calibri" w:cs="Calibri"/>
                <w:color w:val="000000"/>
              </w:rPr>
              <w:t>102.7</w:t>
            </w:r>
          </w:p>
        </w:tc>
      </w:tr>
      <w:tr w:rsidR="00A1095D" w14:paraId="111A48BD" w14:textId="04C3F82F" w:rsidTr="00A1095D">
        <w:tc>
          <w:tcPr>
            <w:tcW w:w="2562" w:type="dxa"/>
          </w:tcPr>
          <w:p w14:paraId="0CFB826A" w14:textId="77777777" w:rsidR="00A1095D" w:rsidRPr="00044868" w:rsidRDefault="00A1095D" w:rsidP="00044868">
            <w:pPr>
              <w:jc w:val="center"/>
            </w:pPr>
            <w:r w:rsidRPr="00044868">
              <w:t>5</w:t>
            </w:r>
          </w:p>
        </w:tc>
        <w:tc>
          <w:tcPr>
            <w:tcW w:w="2634" w:type="dxa"/>
            <w:vAlign w:val="center"/>
          </w:tcPr>
          <w:p w14:paraId="27C6CFB0" w14:textId="301FA1BF" w:rsidR="00A1095D" w:rsidRPr="00044868" w:rsidRDefault="00A1095D" w:rsidP="00044868">
            <w:pPr>
              <w:jc w:val="center"/>
            </w:pPr>
            <w:r>
              <w:rPr>
                <w:rFonts w:ascii="Calibri" w:hAnsi="Calibri" w:cs="Calibri"/>
                <w:color w:val="000000"/>
              </w:rPr>
              <w:t>7.87</w:t>
            </w:r>
          </w:p>
        </w:tc>
        <w:tc>
          <w:tcPr>
            <w:tcW w:w="2220" w:type="dxa"/>
            <w:vAlign w:val="center"/>
          </w:tcPr>
          <w:p w14:paraId="6D14CDA2" w14:textId="488CE1C5" w:rsidR="00A1095D" w:rsidRDefault="00A1095D" w:rsidP="00044868">
            <w:pPr>
              <w:jc w:val="center"/>
            </w:pPr>
            <w:r>
              <w:rPr>
                <w:rFonts w:ascii="Calibri" w:hAnsi="Calibri" w:cs="Calibri"/>
                <w:color w:val="000000"/>
              </w:rPr>
              <w:t>104.9</w:t>
            </w:r>
          </w:p>
        </w:tc>
      </w:tr>
      <w:tr w:rsidR="00A1095D" w14:paraId="1A4F21F5" w14:textId="5221A049" w:rsidTr="00A1095D">
        <w:tc>
          <w:tcPr>
            <w:tcW w:w="2562" w:type="dxa"/>
            <w:shd w:val="clear" w:color="auto" w:fill="auto"/>
          </w:tcPr>
          <w:p w14:paraId="38653E2C" w14:textId="504B0784" w:rsidR="00A1095D" w:rsidRPr="00044868" w:rsidRDefault="00A1095D" w:rsidP="00044868">
            <w:pPr>
              <w:jc w:val="center"/>
              <w:rPr>
                <w:b/>
              </w:rPr>
            </w:pPr>
            <w:r>
              <w:rPr>
                <w:b/>
              </w:rPr>
              <w:t>Average</w:t>
            </w:r>
          </w:p>
        </w:tc>
        <w:tc>
          <w:tcPr>
            <w:tcW w:w="2634" w:type="dxa"/>
            <w:shd w:val="clear" w:color="auto" w:fill="auto"/>
          </w:tcPr>
          <w:p w14:paraId="1F0EEAB7" w14:textId="1C79C644" w:rsidR="00A1095D" w:rsidRPr="00044868" w:rsidRDefault="00A1095D" w:rsidP="00044868">
            <w:pPr>
              <w:jc w:val="center"/>
            </w:pPr>
            <w:r>
              <w:t>7.70</w:t>
            </w:r>
          </w:p>
        </w:tc>
        <w:tc>
          <w:tcPr>
            <w:tcW w:w="2220" w:type="dxa"/>
            <w:shd w:val="clear" w:color="auto" w:fill="auto"/>
          </w:tcPr>
          <w:p w14:paraId="6F0EE1AA" w14:textId="5FBE240C" w:rsidR="00A1095D" w:rsidRDefault="00A1095D" w:rsidP="00044868">
            <w:pPr>
              <w:jc w:val="center"/>
            </w:pPr>
            <w:r>
              <w:t>102.6</w:t>
            </w:r>
          </w:p>
        </w:tc>
      </w:tr>
      <w:tr w:rsidR="00A1095D" w14:paraId="252F4D63" w14:textId="28F42C19" w:rsidTr="00A1095D">
        <w:tc>
          <w:tcPr>
            <w:tcW w:w="2562" w:type="dxa"/>
            <w:shd w:val="clear" w:color="auto" w:fill="auto"/>
          </w:tcPr>
          <w:p w14:paraId="68D685AC" w14:textId="62E62784" w:rsidR="00A1095D" w:rsidRPr="00044868" w:rsidRDefault="00A1095D" w:rsidP="00044868">
            <w:pPr>
              <w:jc w:val="center"/>
              <w:rPr>
                <w:b/>
              </w:rPr>
            </w:pPr>
            <w:r>
              <w:rPr>
                <w:b/>
              </w:rPr>
              <w:t>SD</w:t>
            </w:r>
          </w:p>
        </w:tc>
        <w:tc>
          <w:tcPr>
            <w:tcW w:w="2634" w:type="dxa"/>
            <w:shd w:val="clear" w:color="auto" w:fill="auto"/>
          </w:tcPr>
          <w:p w14:paraId="08D3173E" w14:textId="06B7D362" w:rsidR="00A1095D" w:rsidRPr="003B540E" w:rsidRDefault="00A1095D" w:rsidP="00044868">
            <w:pPr>
              <w:jc w:val="center"/>
              <w:rPr>
                <w:rFonts w:cstheme="minorHAnsi"/>
              </w:rPr>
            </w:pPr>
            <w:r w:rsidRPr="003B540E">
              <w:rPr>
                <w:rFonts w:cstheme="minorHAnsi"/>
              </w:rPr>
              <w:t>0.107</w:t>
            </w:r>
          </w:p>
        </w:tc>
        <w:tc>
          <w:tcPr>
            <w:tcW w:w="2220" w:type="dxa"/>
            <w:shd w:val="pct30" w:color="auto" w:fill="auto"/>
          </w:tcPr>
          <w:p w14:paraId="3A4C7FCB" w14:textId="77777777" w:rsidR="00A1095D" w:rsidRDefault="00A1095D" w:rsidP="00044868">
            <w:pPr>
              <w:jc w:val="center"/>
            </w:pPr>
          </w:p>
        </w:tc>
      </w:tr>
      <w:tr w:rsidR="00A1095D" w14:paraId="6F98E625" w14:textId="23CF57E1" w:rsidTr="00A1095D">
        <w:tc>
          <w:tcPr>
            <w:tcW w:w="2562" w:type="dxa"/>
            <w:tcBorders>
              <w:bottom w:val="single" w:sz="4" w:space="0" w:color="auto"/>
            </w:tcBorders>
            <w:shd w:val="clear" w:color="auto" w:fill="auto"/>
          </w:tcPr>
          <w:p w14:paraId="7761835E" w14:textId="3286D0D7" w:rsidR="00A1095D" w:rsidRPr="00044868" w:rsidRDefault="00A1095D" w:rsidP="00044868">
            <w:pPr>
              <w:jc w:val="center"/>
              <w:rPr>
                <w:b/>
              </w:rPr>
            </w:pPr>
            <w:r>
              <w:rPr>
                <w:b/>
              </w:rPr>
              <w:t>%RSD</w:t>
            </w:r>
          </w:p>
        </w:tc>
        <w:tc>
          <w:tcPr>
            <w:tcW w:w="2634" w:type="dxa"/>
            <w:tcBorders>
              <w:bottom w:val="single" w:sz="4" w:space="0" w:color="auto"/>
            </w:tcBorders>
            <w:shd w:val="clear" w:color="auto" w:fill="auto"/>
          </w:tcPr>
          <w:p w14:paraId="72F9AE19" w14:textId="5534FE50" w:rsidR="00A1095D" w:rsidRDefault="00A1095D" w:rsidP="00044868">
            <w:pPr>
              <w:jc w:val="center"/>
            </w:pPr>
            <w:r>
              <w:t>1.39</w:t>
            </w:r>
          </w:p>
        </w:tc>
        <w:tc>
          <w:tcPr>
            <w:tcW w:w="2220" w:type="dxa"/>
            <w:tcBorders>
              <w:bottom w:val="single" w:sz="4" w:space="0" w:color="auto"/>
            </w:tcBorders>
            <w:shd w:val="pct30" w:color="auto" w:fill="auto"/>
          </w:tcPr>
          <w:p w14:paraId="646B1100" w14:textId="77777777" w:rsidR="00A1095D" w:rsidRDefault="00A1095D" w:rsidP="00044868">
            <w:pPr>
              <w:jc w:val="center"/>
            </w:pPr>
          </w:p>
        </w:tc>
      </w:tr>
      <w:tr w:rsidR="00A1095D" w14:paraId="6AC9201E" w14:textId="77777777" w:rsidTr="00A1095D">
        <w:tc>
          <w:tcPr>
            <w:tcW w:w="2562" w:type="dxa"/>
            <w:tcBorders>
              <w:left w:val="nil"/>
              <w:right w:val="nil"/>
            </w:tcBorders>
            <w:shd w:val="clear" w:color="auto" w:fill="auto"/>
          </w:tcPr>
          <w:p w14:paraId="238B8018" w14:textId="77777777" w:rsidR="00A1095D" w:rsidRDefault="00A1095D" w:rsidP="00044868">
            <w:pPr>
              <w:jc w:val="center"/>
              <w:rPr>
                <w:b/>
              </w:rPr>
            </w:pPr>
          </w:p>
        </w:tc>
        <w:tc>
          <w:tcPr>
            <w:tcW w:w="2634" w:type="dxa"/>
            <w:tcBorders>
              <w:left w:val="nil"/>
              <w:right w:val="nil"/>
            </w:tcBorders>
            <w:shd w:val="clear" w:color="auto" w:fill="auto"/>
          </w:tcPr>
          <w:p w14:paraId="39BDF136" w14:textId="77777777" w:rsidR="00A1095D" w:rsidRDefault="00A1095D" w:rsidP="00044868">
            <w:pPr>
              <w:jc w:val="center"/>
            </w:pPr>
          </w:p>
        </w:tc>
        <w:tc>
          <w:tcPr>
            <w:tcW w:w="2220" w:type="dxa"/>
            <w:tcBorders>
              <w:left w:val="nil"/>
              <w:right w:val="nil"/>
            </w:tcBorders>
            <w:shd w:val="clear" w:color="auto" w:fill="auto"/>
          </w:tcPr>
          <w:p w14:paraId="46DB6BF3" w14:textId="77777777" w:rsidR="00A1095D" w:rsidRDefault="00A1095D" w:rsidP="00044868">
            <w:pPr>
              <w:jc w:val="center"/>
            </w:pPr>
          </w:p>
        </w:tc>
      </w:tr>
      <w:tr w:rsidR="00A1095D" w14:paraId="50D34BF1" w14:textId="77777777" w:rsidTr="00A1095D">
        <w:tc>
          <w:tcPr>
            <w:tcW w:w="2562" w:type="dxa"/>
            <w:shd w:val="clear" w:color="auto" w:fill="auto"/>
          </w:tcPr>
          <w:p w14:paraId="7549656D" w14:textId="695F5F64" w:rsidR="00A1095D" w:rsidRDefault="00A1095D" w:rsidP="00A1095D">
            <w:pPr>
              <w:jc w:val="center"/>
              <w:rPr>
                <w:b/>
              </w:rPr>
            </w:pPr>
            <w:r>
              <w:rPr>
                <w:b/>
              </w:rPr>
              <w:t>Lab 2 - Replicate</w:t>
            </w:r>
          </w:p>
        </w:tc>
        <w:tc>
          <w:tcPr>
            <w:tcW w:w="2634" w:type="dxa"/>
            <w:shd w:val="clear" w:color="auto" w:fill="auto"/>
          </w:tcPr>
          <w:p w14:paraId="1BC50B86" w14:textId="550C88DA" w:rsidR="00A1095D" w:rsidRDefault="00A1095D" w:rsidP="00044868">
            <w:pPr>
              <w:jc w:val="center"/>
            </w:pPr>
            <w:r>
              <w:rPr>
                <w:b/>
              </w:rPr>
              <w:t>Prallethrin Content (g/kg)</w:t>
            </w:r>
          </w:p>
        </w:tc>
        <w:tc>
          <w:tcPr>
            <w:tcW w:w="2220" w:type="dxa"/>
            <w:shd w:val="clear" w:color="auto" w:fill="auto"/>
          </w:tcPr>
          <w:p w14:paraId="7157CFFF" w14:textId="5CEAED68" w:rsidR="00A1095D" w:rsidRDefault="00A1095D" w:rsidP="00044868">
            <w:pPr>
              <w:jc w:val="center"/>
            </w:pPr>
            <w:r>
              <w:rPr>
                <w:b/>
              </w:rPr>
              <w:t>% Recovery</w:t>
            </w:r>
          </w:p>
        </w:tc>
      </w:tr>
      <w:tr w:rsidR="00A1095D" w14:paraId="1602B0BA" w14:textId="77777777" w:rsidTr="00B5354F">
        <w:tc>
          <w:tcPr>
            <w:tcW w:w="2562" w:type="dxa"/>
            <w:shd w:val="clear" w:color="auto" w:fill="auto"/>
          </w:tcPr>
          <w:p w14:paraId="26338BFF" w14:textId="0ADB75CB" w:rsidR="00A1095D" w:rsidRPr="00A1095D" w:rsidRDefault="00A1095D" w:rsidP="00044868">
            <w:pPr>
              <w:jc w:val="center"/>
            </w:pPr>
            <w:r>
              <w:t>1</w:t>
            </w:r>
          </w:p>
        </w:tc>
        <w:tc>
          <w:tcPr>
            <w:tcW w:w="2634" w:type="dxa"/>
            <w:shd w:val="clear" w:color="auto" w:fill="auto"/>
            <w:vAlign w:val="center"/>
          </w:tcPr>
          <w:p w14:paraId="228E8D61" w14:textId="4A9B025C" w:rsidR="00A1095D" w:rsidRPr="00A1095D" w:rsidRDefault="00A1095D" w:rsidP="00044868">
            <w:pPr>
              <w:jc w:val="center"/>
            </w:pPr>
            <w:r>
              <w:rPr>
                <w:rFonts w:ascii="Calibri" w:hAnsi="Calibri" w:cs="Calibri"/>
                <w:color w:val="000000"/>
              </w:rPr>
              <w:t>7.64</w:t>
            </w:r>
          </w:p>
        </w:tc>
        <w:tc>
          <w:tcPr>
            <w:tcW w:w="2220" w:type="dxa"/>
            <w:shd w:val="clear" w:color="auto" w:fill="auto"/>
            <w:vAlign w:val="center"/>
          </w:tcPr>
          <w:p w14:paraId="51D2909D" w14:textId="6810DCEF" w:rsidR="00A1095D" w:rsidRPr="00A1095D" w:rsidRDefault="00A1095D" w:rsidP="00044868">
            <w:pPr>
              <w:jc w:val="center"/>
            </w:pPr>
            <w:r>
              <w:rPr>
                <w:rFonts w:ascii="Calibri" w:hAnsi="Calibri" w:cs="Calibri"/>
                <w:color w:val="000000"/>
              </w:rPr>
              <w:t>101.9</w:t>
            </w:r>
          </w:p>
        </w:tc>
      </w:tr>
      <w:tr w:rsidR="00A1095D" w14:paraId="2A99234A" w14:textId="77777777" w:rsidTr="00B5354F">
        <w:tc>
          <w:tcPr>
            <w:tcW w:w="2562" w:type="dxa"/>
            <w:shd w:val="clear" w:color="auto" w:fill="auto"/>
          </w:tcPr>
          <w:p w14:paraId="2C6F3534" w14:textId="2042A6E5" w:rsidR="00A1095D" w:rsidRPr="00A1095D" w:rsidRDefault="00A1095D" w:rsidP="00044868">
            <w:pPr>
              <w:jc w:val="center"/>
            </w:pPr>
            <w:r>
              <w:t>2</w:t>
            </w:r>
          </w:p>
        </w:tc>
        <w:tc>
          <w:tcPr>
            <w:tcW w:w="2634" w:type="dxa"/>
            <w:shd w:val="clear" w:color="auto" w:fill="auto"/>
            <w:vAlign w:val="center"/>
          </w:tcPr>
          <w:p w14:paraId="4158DDCA" w14:textId="05AC7067" w:rsidR="00A1095D" w:rsidRPr="00A1095D" w:rsidRDefault="00A1095D" w:rsidP="00044868">
            <w:pPr>
              <w:jc w:val="center"/>
            </w:pPr>
            <w:r>
              <w:rPr>
                <w:rFonts w:ascii="Calibri" w:hAnsi="Calibri" w:cs="Calibri"/>
                <w:color w:val="000000"/>
              </w:rPr>
              <w:t>7.47</w:t>
            </w:r>
          </w:p>
        </w:tc>
        <w:tc>
          <w:tcPr>
            <w:tcW w:w="2220" w:type="dxa"/>
            <w:shd w:val="clear" w:color="auto" w:fill="auto"/>
            <w:vAlign w:val="center"/>
          </w:tcPr>
          <w:p w14:paraId="09415651" w14:textId="72512656" w:rsidR="00A1095D" w:rsidRPr="00A1095D" w:rsidRDefault="00A1095D" w:rsidP="00044868">
            <w:pPr>
              <w:jc w:val="center"/>
            </w:pPr>
            <w:r>
              <w:rPr>
                <w:rFonts w:ascii="Calibri" w:hAnsi="Calibri" w:cs="Calibri"/>
                <w:color w:val="000000"/>
              </w:rPr>
              <w:t>99.6</w:t>
            </w:r>
          </w:p>
        </w:tc>
      </w:tr>
      <w:tr w:rsidR="00A1095D" w14:paraId="5433DE97" w14:textId="77777777" w:rsidTr="00B5354F">
        <w:tc>
          <w:tcPr>
            <w:tcW w:w="2562" w:type="dxa"/>
            <w:shd w:val="clear" w:color="auto" w:fill="auto"/>
          </w:tcPr>
          <w:p w14:paraId="2FB8D723" w14:textId="380950DF" w:rsidR="00A1095D" w:rsidRPr="00A1095D" w:rsidRDefault="00A1095D" w:rsidP="00044868">
            <w:pPr>
              <w:jc w:val="center"/>
            </w:pPr>
            <w:r>
              <w:t>3</w:t>
            </w:r>
          </w:p>
        </w:tc>
        <w:tc>
          <w:tcPr>
            <w:tcW w:w="2634" w:type="dxa"/>
            <w:shd w:val="clear" w:color="auto" w:fill="auto"/>
            <w:vAlign w:val="center"/>
          </w:tcPr>
          <w:p w14:paraId="612220E5" w14:textId="50D98A21" w:rsidR="00A1095D" w:rsidRPr="00A1095D" w:rsidRDefault="00A1095D" w:rsidP="00044868">
            <w:pPr>
              <w:jc w:val="center"/>
            </w:pPr>
            <w:r>
              <w:rPr>
                <w:rFonts w:ascii="Calibri" w:hAnsi="Calibri" w:cs="Calibri"/>
                <w:color w:val="000000"/>
              </w:rPr>
              <w:t>7.47</w:t>
            </w:r>
          </w:p>
        </w:tc>
        <w:tc>
          <w:tcPr>
            <w:tcW w:w="2220" w:type="dxa"/>
            <w:shd w:val="clear" w:color="auto" w:fill="auto"/>
            <w:vAlign w:val="center"/>
          </w:tcPr>
          <w:p w14:paraId="7554E075" w14:textId="1ED3E271" w:rsidR="00A1095D" w:rsidRPr="00A1095D" w:rsidRDefault="00A1095D" w:rsidP="00044868">
            <w:pPr>
              <w:jc w:val="center"/>
            </w:pPr>
            <w:r>
              <w:rPr>
                <w:rFonts w:ascii="Calibri" w:hAnsi="Calibri" w:cs="Calibri"/>
                <w:color w:val="000000"/>
              </w:rPr>
              <w:t>99.5</w:t>
            </w:r>
          </w:p>
        </w:tc>
      </w:tr>
      <w:tr w:rsidR="00A1095D" w14:paraId="093DEEA3" w14:textId="77777777" w:rsidTr="00B5354F">
        <w:tc>
          <w:tcPr>
            <w:tcW w:w="2562" w:type="dxa"/>
            <w:shd w:val="clear" w:color="auto" w:fill="auto"/>
          </w:tcPr>
          <w:p w14:paraId="2BA48AA8" w14:textId="58703EE5" w:rsidR="00A1095D" w:rsidRPr="00A1095D" w:rsidRDefault="00A1095D" w:rsidP="00044868">
            <w:pPr>
              <w:jc w:val="center"/>
            </w:pPr>
            <w:r>
              <w:t>4</w:t>
            </w:r>
          </w:p>
        </w:tc>
        <w:tc>
          <w:tcPr>
            <w:tcW w:w="2634" w:type="dxa"/>
            <w:shd w:val="clear" w:color="auto" w:fill="auto"/>
            <w:vAlign w:val="center"/>
          </w:tcPr>
          <w:p w14:paraId="62680833" w14:textId="1E661358" w:rsidR="00A1095D" w:rsidRPr="00A1095D" w:rsidRDefault="00A1095D" w:rsidP="00044868">
            <w:pPr>
              <w:jc w:val="center"/>
            </w:pPr>
            <w:r>
              <w:rPr>
                <w:rFonts w:ascii="Calibri" w:hAnsi="Calibri" w:cs="Calibri"/>
                <w:color w:val="000000"/>
              </w:rPr>
              <w:t>7.31</w:t>
            </w:r>
          </w:p>
        </w:tc>
        <w:tc>
          <w:tcPr>
            <w:tcW w:w="2220" w:type="dxa"/>
            <w:shd w:val="clear" w:color="auto" w:fill="auto"/>
            <w:vAlign w:val="center"/>
          </w:tcPr>
          <w:p w14:paraId="4C0F7D12" w14:textId="320FECD6" w:rsidR="00A1095D" w:rsidRPr="00A1095D" w:rsidRDefault="00A1095D" w:rsidP="00044868">
            <w:pPr>
              <w:jc w:val="center"/>
            </w:pPr>
            <w:r>
              <w:rPr>
                <w:rFonts w:ascii="Calibri" w:hAnsi="Calibri" w:cs="Calibri"/>
                <w:color w:val="000000"/>
              </w:rPr>
              <w:t>97.5</w:t>
            </w:r>
          </w:p>
        </w:tc>
      </w:tr>
      <w:tr w:rsidR="00A1095D" w14:paraId="10BB7249" w14:textId="77777777" w:rsidTr="00B5354F">
        <w:tc>
          <w:tcPr>
            <w:tcW w:w="2562" w:type="dxa"/>
            <w:shd w:val="clear" w:color="auto" w:fill="auto"/>
          </w:tcPr>
          <w:p w14:paraId="39B7F2AE" w14:textId="6529C6C2" w:rsidR="00A1095D" w:rsidRPr="00A1095D" w:rsidRDefault="00A1095D" w:rsidP="00044868">
            <w:pPr>
              <w:jc w:val="center"/>
            </w:pPr>
            <w:r>
              <w:t>5</w:t>
            </w:r>
          </w:p>
        </w:tc>
        <w:tc>
          <w:tcPr>
            <w:tcW w:w="2634" w:type="dxa"/>
            <w:shd w:val="clear" w:color="auto" w:fill="auto"/>
            <w:vAlign w:val="center"/>
          </w:tcPr>
          <w:p w14:paraId="60E5D639" w14:textId="49AB29F2" w:rsidR="00A1095D" w:rsidRPr="00A1095D" w:rsidRDefault="00A1095D" w:rsidP="00044868">
            <w:pPr>
              <w:jc w:val="center"/>
            </w:pPr>
            <w:r>
              <w:rPr>
                <w:rFonts w:ascii="Calibri" w:hAnsi="Calibri" w:cs="Calibri"/>
                <w:color w:val="000000"/>
              </w:rPr>
              <w:t>7.35</w:t>
            </w:r>
          </w:p>
        </w:tc>
        <w:tc>
          <w:tcPr>
            <w:tcW w:w="2220" w:type="dxa"/>
            <w:shd w:val="clear" w:color="auto" w:fill="auto"/>
            <w:vAlign w:val="center"/>
          </w:tcPr>
          <w:p w14:paraId="6C5840D1" w14:textId="13A98443" w:rsidR="00A1095D" w:rsidRPr="00A1095D" w:rsidRDefault="00A1095D" w:rsidP="00044868">
            <w:pPr>
              <w:jc w:val="center"/>
            </w:pPr>
            <w:r>
              <w:rPr>
                <w:rFonts w:ascii="Calibri" w:hAnsi="Calibri" w:cs="Calibri"/>
                <w:color w:val="000000"/>
              </w:rPr>
              <w:t>97.9</w:t>
            </w:r>
          </w:p>
        </w:tc>
      </w:tr>
      <w:tr w:rsidR="00A1095D" w14:paraId="52A5814F" w14:textId="77777777" w:rsidTr="00B5354F">
        <w:tc>
          <w:tcPr>
            <w:tcW w:w="2562" w:type="dxa"/>
            <w:shd w:val="clear" w:color="auto" w:fill="auto"/>
          </w:tcPr>
          <w:p w14:paraId="2CDC6DD0" w14:textId="0EBAEC14" w:rsidR="00A1095D" w:rsidRDefault="00A1095D" w:rsidP="00044868">
            <w:pPr>
              <w:jc w:val="center"/>
              <w:rPr>
                <w:b/>
              </w:rPr>
            </w:pPr>
            <w:r>
              <w:rPr>
                <w:b/>
              </w:rPr>
              <w:t>Average</w:t>
            </w:r>
          </w:p>
        </w:tc>
        <w:tc>
          <w:tcPr>
            <w:tcW w:w="2634" w:type="dxa"/>
            <w:shd w:val="clear" w:color="auto" w:fill="auto"/>
            <w:vAlign w:val="center"/>
          </w:tcPr>
          <w:p w14:paraId="1F6D829B" w14:textId="73763DFB" w:rsidR="00A1095D" w:rsidRPr="00A1095D" w:rsidRDefault="00A1095D" w:rsidP="00044868">
            <w:pPr>
              <w:jc w:val="center"/>
            </w:pPr>
            <w:r>
              <w:rPr>
                <w:rFonts w:ascii="Calibri" w:hAnsi="Calibri" w:cs="Calibri"/>
                <w:color w:val="000000"/>
              </w:rPr>
              <w:t>7.45</w:t>
            </w:r>
          </w:p>
        </w:tc>
        <w:tc>
          <w:tcPr>
            <w:tcW w:w="2220" w:type="dxa"/>
            <w:tcBorders>
              <w:bottom w:val="single" w:sz="4" w:space="0" w:color="auto"/>
            </w:tcBorders>
            <w:shd w:val="clear" w:color="auto" w:fill="auto"/>
            <w:vAlign w:val="center"/>
          </w:tcPr>
          <w:p w14:paraId="47383712" w14:textId="4D24D57F" w:rsidR="00A1095D" w:rsidRPr="00A1095D" w:rsidRDefault="00A1095D" w:rsidP="00044868">
            <w:pPr>
              <w:jc w:val="center"/>
            </w:pPr>
            <w:r>
              <w:rPr>
                <w:rFonts w:ascii="Calibri" w:hAnsi="Calibri" w:cs="Calibri"/>
                <w:color w:val="000000"/>
              </w:rPr>
              <w:t>99.3</w:t>
            </w:r>
          </w:p>
        </w:tc>
      </w:tr>
      <w:tr w:rsidR="00A1095D" w14:paraId="3321D0CC" w14:textId="77777777" w:rsidTr="00A1095D">
        <w:tc>
          <w:tcPr>
            <w:tcW w:w="2562" w:type="dxa"/>
            <w:shd w:val="clear" w:color="auto" w:fill="auto"/>
          </w:tcPr>
          <w:p w14:paraId="4EABB713" w14:textId="33FF6873" w:rsidR="00A1095D" w:rsidRDefault="00A1095D" w:rsidP="00044868">
            <w:pPr>
              <w:jc w:val="center"/>
              <w:rPr>
                <w:b/>
              </w:rPr>
            </w:pPr>
            <w:r>
              <w:rPr>
                <w:b/>
              </w:rPr>
              <w:t>SD</w:t>
            </w:r>
          </w:p>
        </w:tc>
        <w:tc>
          <w:tcPr>
            <w:tcW w:w="2634" w:type="dxa"/>
            <w:shd w:val="clear" w:color="auto" w:fill="auto"/>
          </w:tcPr>
          <w:p w14:paraId="2C9B3A42" w14:textId="191F4D2B" w:rsidR="00A1095D" w:rsidRPr="003B540E" w:rsidRDefault="00A1095D" w:rsidP="00044868">
            <w:pPr>
              <w:jc w:val="center"/>
              <w:rPr>
                <w:rFonts w:cstheme="minorHAnsi"/>
              </w:rPr>
            </w:pPr>
            <w:r w:rsidRPr="003B540E">
              <w:rPr>
                <w:rFonts w:cstheme="minorHAnsi"/>
              </w:rPr>
              <w:t>0.129</w:t>
            </w:r>
          </w:p>
        </w:tc>
        <w:tc>
          <w:tcPr>
            <w:tcW w:w="2220" w:type="dxa"/>
            <w:shd w:val="pct30" w:color="auto" w:fill="auto"/>
          </w:tcPr>
          <w:p w14:paraId="5A16AE19" w14:textId="77777777" w:rsidR="00A1095D" w:rsidRPr="00A1095D" w:rsidRDefault="00A1095D" w:rsidP="00044868">
            <w:pPr>
              <w:jc w:val="center"/>
            </w:pPr>
          </w:p>
        </w:tc>
      </w:tr>
      <w:tr w:rsidR="00A1095D" w14:paraId="1118DDD9" w14:textId="77777777" w:rsidTr="00A1095D">
        <w:tc>
          <w:tcPr>
            <w:tcW w:w="2562" w:type="dxa"/>
            <w:shd w:val="clear" w:color="auto" w:fill="auto"/>
          </w:tcPr>
          <w:p w14:paraId="12643999" w14:textId="6856CB8E" w:rsidR="00A1095D" w:rsidRDefault="00A1095D" w:rsidP="00044868">
            <w:pPr>
              <w:jc w:val="center"/>
              <w:rPr>
                <w:b/>
              </w:rPr>
            </w:pPr>
            <w:r>
              <w:rPr>
                <w:b/>
              </w:rPr>
              <w:t>%RSD</w:t>
            </w:r>
          </w:p>
        </w:tc>
        <w:tc>
          <w:tcPr>
            <w:tcW w:w="2634" w:type="dxa"/>
            <w:shd w:val="clear" w:color="auto" w:fill="auto"/>
          </w:tcPr>
          <w:p w14:paraId="2A025E27" w14:textId="60E030E7" w:rsidR="00A1095D" w:rsidRPr="00A1095D" w:rsidRDefault="00A1095D" w:rsidP="00044868">
            <w:pPr>
              <w:jc w:val="center"/>
            </w:pPr>
            <w:r>
              <w:t>1.73</w:t>
            </w:r>
          </w:p>
        </w:tc>
        <w:tc>
          <w:tcPr>
            <w:tcW w:w="2220" w:type="dxa"/>
            <w:shd w:val="pct30" w:color="auto" w:fill="auto"/>
          </w:tcPr>
          <w:p w14:paraId="37E2C128" w14:textId="77777777" w:rsidR="00A1095D" w:rsidRPr="00A1095D" w:rsidRDefault="00A1095D" w:rsidP="00044868">
            <w:pPr>
              <w:jc w:val="center"/>
            </w:pPr>
          </w:p>
        </w:tc>
      </w:tr>
    </w:tbl>
    <w:p w14:paraId="6285AA77" w14:textId="77777777" w:rsidR="004A6003" w:rsidRDefault="00A1095D" w:rsidP="00DD5157">
      <w:pPr>
        <w:pStyle w:val="ListParagraph"/>
      </w:pPr>
      <w:r>
        <w:tab/>
      </w:r>
      <w:r>
        <w:tab/>
      </w:r>
    </w:p>
    <w:p w14:paraId="1A72329F" w14:textId="3CE98899" w:rsidR="0055065B" w:rsidRDefault="00A1095D" w:rsidP="00DD5157">
      <w:pPr>
        <w:pStyle w:val="ListParagraph"/>
      </w:pPr>
      <w:r>
        <w:br/>
      </w:r>
      <w:r>
        <w:tab/>
      </w:r>
      <w:r>
        <w:tab/>
        <w:t xml:space="preserve">When combining all results, the overall %RSD between all analyses was </w:t>
      </w:r>
      <w:r w:rsidR="0055065B">
        <w:t xml:space="preserve">2.28%. </w:t>
      </w:r>
      <w:r w:rsidR="0055065B">
        <w:tab/>
      </w:r>
      <w:r w:rsidR="0055065B">
        <w:tab/>
      </w:r>
      <w:r w:rsidR="0055065B">
        <w:tab/>
        <w:t xml:space="preserve">When applying the Horwitz Ratio (%RSD of the results / Predicted %RSD from </w:t>
      </w:r>
      <w:r w:rsidR="0055065B">
        <w:tab/>
      </w:r>
      <w:r w:rsidR="0055065B">
        <w:tab/>
      </w:r>
      <w:r w:rsidR="0055065B">
        <w:tab/>
        <w:t xml:space="preserve">the </w:t>
      </w:r>
      <w:proofErr w:type="spellStart"/>
      <w:r w:rsidR="0055065B">
        <w:t>HorWitz</w:t>
      </w:r>
      <w:proofErr w:type="spellEnd"/>
      <w:r w:rsidR="0055065B">
        <w:t xml:space="preserve"> equation) we get a ratio of 0.5 which is considered fully acceptable.</w:t>
      </w:r>
      <w:r w:rsidR="0055065B">
        <w:br/>
      </w:r>
      <w:r w:rsidR="0055065B">
        <w:tab/>
      </w:r>
    </w:p>
    <w:tbl>
      <w:tblPr>
        <w:tblStyle w:val="TableGrid"/>
        <w:tblW w:w="0" w:type="auto"/>
        <w:tblInd w:w="2178" w:type="dxa"/>
        <w:tblLook w:val="04A0" w:firstRow="1" w:lastRow="0" w:firstColumn="1" w:lastColumn="0" w:noHBand="0" w:noVBand="1"/>
      </w:tblPr>
      <w:tblGrid>
        <w:gridCol w:w="3780"/>
        <w:gridCol w:w="3618"/>
      </w:tblGrid>
      <w:tr w:rsidR="0055065B" w14:paraId="21924748" w14:textId="77777777" w:rsidTr="0055065B">
        <w:tc>
          <w:tcPr>
            <w:tcW w:w="3780" w:type="dxa"/>
          </w:tcPr>
          <w:p w14:paraId="7507FEC7" w14:textId="098A0689" w:rsidR="0055065B" w:rsidRDefault="0055065B" w:rsidP="0055065B">
            <w:pPr>
              <w:pStyle w:val="ListParagraph"/>
              <w:ind w:left="0"/>
              <w:jc w:val="center"/>
            </w:pPr>
            <w:r>
              <w:t>Overall %RSD</w:t>
            </w:r>
          </w:p>
        </w:tc>
        <w:tc>
          <w:tcPr>
            <w:tcW w:w="3618" w:type="dxa"/>
          </w:tcPr>
          <w:p w14:paraId="4EC61EA4" w14:textId="4EA9E962" w:rsidR="0055065B" w:rsidRDefault="0055065B" w:rsidP="0055065B">
            <w:pPr>
              <w:pStyle w:val="ListParagraph"/>
              <w:ind w:left="0"/>
              <w:jc w:val="center"/>
            </w:pPr>
            <w:r>
              <w:t>2.28</w:t>
            </w:r>
          </w:p>
        </w:tc>
      </w:tr>
      <w:tr w:rsidR="0055065B" w14:paraId="7E1AB3D7" w14:textId="77777777" w:rsidTr="0055065B">
        <w:tc>
          <w:tcPr>
            <w:tcW w:w="3780" w:type="dxa"/>
          </w:tcPr>
          <w:p w14:paraId="03C5567F" w14:textId="0F2967AD" w:rsidR="0055065B" w:rsidRDefault="0055065B" w:rsidP="0055065B">
            <w:pPr>
              <w:pStyle w:val="ListParagraph"/>
              <w:ind w:left="0"/>
              <w:jc w:val="center"/>
            </w:pPr>
            <w:r>
              <w:t>%RSD per Horwitz Equation</w:t>
            </w:r>
          </w:p>
        </w:tc>
        <w:tc>
          <w:tcPr>
            <w:tcW w:w="3618" w:type="dxa"/>
          </w:tcPr>
          <w:p w14:paraId="44940899" w14:textId="676B2B4B" w:rsidR="0055065B" w:rsidRDefault="0055065B" w:rsidP="0055065B">
            <w:pPr>
              <w:pStyle w:val="ListParagraph"/>
              <w:ind w:left="0"/>
              <w:jc w:val="center"/>
            </w:pPr>
            <w:r>
              <w:t>4.18</w:t>
            </w:r>
          </w:p>
        </w:tc>
      </w:tr>
      <w:tr w:rsidR="0055065B" w14:paraId="0E5C648C" w14:textId="77777777" w:rsidTr="0055065B">
        <w:tc>
          <w:tcPr>
            <w:tcW w:w="3780" w:type="dxa"/>
          </w:tcPr>
          <w:p w14:paraId="61722C46" w14:textId="427B0A46" w:rsidR="0055065B" w:rsidRDefault="0055065B" w:rsidP="0055065B">
            <w:pPr>
              <w:pStyle w:val="ListParagraph"/>
              <w:ind w:left="0"/>
              <w:jc w:val="center"/>
            </w:pPr>
            <w:proofErr w:type="spellStart"/>
            <w:r>
              <w:t>HorRat</w:t>
            </w:r>
            <w:proofErr w:type="spellEnd"/>
          </w:p>
        </w:tc>
        <w:tc>
          <w:tcPr>
            <w:tcW w:w="3618" w:type="dxa"/>
          </w:tcPr>
          <w:p w14:paraId="74196C4B" w14:textId="1568BC28" w:rsidR="0055065B" w:rsidRDefault="0055065B" w:rsidP="0055065B">
            <w:pPr>
              <w:pStyle w:val="ListParagraph"/>
              <w:ind w:left="0"/>
              <w:jc w:val="center"/>
            </w:pPr>
            <w:r>
              <w:t>0.5</w:t>
            </w:r>
          </w:p>
        </w:tc>
      </w:tr>
    </w:tbl>
    <w:p w14:paraId="592A4C0C" w14:textId="31E46897" w:rsidR="00DD5157" w:rsidRPr="009939E2" w:rsidRDefault="00DD5157" w:rsidP="00DD5157">
      <w:pPr>
        <w:pStyle w:val="ListParagraph"/>
        <w:numPr>
          <w:ilvl w:val="0"/>
          <w:numId w:val="2"/>
        </w:numPr>
      </w:pPr>
      <w:r w:rsidRPr="00DD5157">
        <w:rPr>
          <w:b/>
        </w:rPr>
        <w:lastRenderedPageBreak/>
        <w:t>Prallethrin Formulation Extension method of CIPAC 743/LV/M/-</w:t>
      </w:r>
    </w:p>
    <w:p w14:paraId="46B451EF" w14:textId="77777777" w:rsidR="00DD5157" w:rsidRDefault="00DD5157" w:rsidP="00DD5157">
      <w:pPr>
        <w:pStyle w:val="ListParagraph"/>
      </w:pPr>
    </w:p>
    <w:p w14:paraId="0EB8150B" w14:textId="77777777" w:rsidR="00DD5157" w:rsidRDefault="00DD5157" w:rsidP="00DD5157">
      <w:pPr>
        <w:pStyle w:val="ListParagraph"/>
      </w:pPr>
      <w:r w:rsidRPr="009939E2">
        <w:rPr>
          <w:b/>
        </w:rPr>
        <w:t xml:space="preserve">Outline of </w:t>
      </w:r>
      <w:r>
        <w:rPr>
          <w:b/>
        </w:rPr>
        <w:t xml:space="preserve">CIPAC </w:t>
      </w:r>
      <w:r w:rsidRPr="009939E2">
        <w:rPr>
          <w:b/>
        </w:rPr>
        <w:t>Method</w:t>
      </w:r>
      <w:r>
        <w:t>: Total Prallethrin is determined by capillary gas chromatography using flame ionization detection and triphenyl phosphate as internal standard.</w:t>
      </w:r>
    </w:p>
    <w:p w14:paraId="470C0AF5" w14:textId="77777777" w:rsidR="00DD5157" w:rsidRDefault="00DD5157" w:rsidP="00DD5157">
      <w:pPr>
        <w:pStyle w:val="ListParagraph"/>
      </w:pPr>
    </w:p>
    <w:p w14:paraId="340D292E" w14:textId="65DCEF32" w:rsidR="00DD5157" w:rsidRDefault="00DD5157" w:rsidP="00DD5157">
      <w:pPr>
        <w:pStyle w:val="ListParagraph"/>
      </w:pPr>
      <w:r w:rsidRPr="009939E2">
        <w:rPr>
          <w:b/>
        </w:rPr>
        <w:t>Reagents</w:t>
      </w:r>
      <w:r>
        <w:rPr>
          <w:b/>
        </w:rPr>
        <w:br/>
      </w:r>
      <w:r>
        <w:rPr>
          <w:i/>
        </w:rPr>
        <w:t>Acetone</w:t>
      </w:r>
      <w:r>
        <w:rPr>
          <w:i/>
        </w:rPr>
        <w:br/>
      </w:r>
      <w:proofErr w:type="spellStart"/>
      <w:r>
        <w:rPr>
          <w:i/>
        </w:rPr>
        <w:t>Prallethrin</w:t>
      </w:r>
      <w:proofErr w:type="spellEnd"/>
      <w:r>
        <w:rPr>
          <w:i/>
        </w:rPr>
        <w:t xml:space="preserve"> working standard </w:t>
      </w:r>
      <w:r>
        <w:t>technical product of certified purity. Store refrigerated.</w:t>
      </w:r>
    </w:p>
    <w:p w14:paraId="77F18AD2" w14:textId="77777777" w:rsidR="00DD5157" w:rsidRDefault="00DD5157" w:rsidP="00DD5157">
      <w:pPr>
        <w:pStyle w:val="ListParagraph"/>
      </w:pPr>
      <w:r>
        <w:rPr>
          <w:i/>
        </w:rPr>
        <w:t>Triphenyl Phosphate</w:t>
      </w:r>
      <w:r>
        <w:t xml:space="preserve"> internal standard. Must not show a peak with the same retention time as prallethrin.</w:t>
      </w:r>
    </w:p>
    <w:p w14:paraId="08679493" w14:textId="77777777" w:rsidR="00DD5157" w:rsidRDefault="00DD5157" w:rsidP="00DD5157">
      <w:pPr>
        <w:pStyle w:val="ListParagraph"/>
      </w:pPr>
      <w:r>
        <w:rPr>
          <w:i/>
        </w:rPr>
        <w:t xml:space="preserve">Internal standard solution. </w:t>
      </w:r>
      <w:r>
        <w:t xml:space="preserve">Dissolve triphenyl phosphate (2.0 g) in acetone (100mL). Ensure that a sufficient quantity of this solution is prepared for all samples and calibration standards to be </w:t>
      </w:r>
      <w:proofErr w:type="spellStart"/>
      <w:r>
        <w:t>analysed</w:t>
      </w:r>
      <w:proofErr w:type="spellEnd"/>
      <w:r>
        <w:t>.</w:t>
      </w:r>
    </w:p>
    <w:p w14:paraId="08BB8FAA" w14:textId="77777777" w:rsidR="00DD5157" w:rsidRDefault="00DD5157" w:rsidP="00DD5157">
      <w:pPr>
        <w:pStyle w:val="ListParagraph"/>
      </w:pPr>
      <w:r>
        <w:rPr>
          <w:i/>
        </w:rPr>
        <w:t>Calibration Solution</w:t>
      </w:r>
      <w:r>
        <w:t>. Prepare calibration solutions in duplicate. Weigh (to the nearest 0.1mg) 90 to 100 mg (</w:t>
      </w:r>
      <w:r>
        <w:rPr>
          <w:i/>
        </w:rPr>
        <w:t>s</w:t>
      </w:r>
      <w:r>
        <w:t xml:space="preserve"> mg) of prallethrin working standard into a volumetric flask (100mL). Add by pipette internal standard solution (5.0 mL) and dissolve. Make up to volume with acetone and mix well (solutions C</w:t>
      </w:r>
      <w:r>
        <w:rPr>
          <w:vertAlign w:val="subscript"/>
        </w:rPr>
        <w:softHyphen/>
        <w:t xml:space="preserve">A </w:t>
      </w:r>
      <w:r>
        <w:t>and C</w:t>
      </w:r>
      <w:r>
        <w:rPr>
          <w:vertAlign w:val="subscript"/>
        </w:rPr>
        <w:t>B</w:t>
      </w:r>
      <w:r>
        <w:t xml:space="preserve">). </w:t>
      </w:r>
    </w:p>
    <w:p w14:paraId="1E833272" w14:textId="77777777" w:rsidR="00DD5157" w:rsidRPr="001B7286" w:rsidRDefault="00DD5157" w:rsidP="00DD5157">
      <w:pPr>
        <w:pStyle w:val="ListParagraph"/>
      </w:pPr>
    </w:p>
    <w:p w14:paraId="2A32F00B" w14:textId="4D5F520B" w:rsidR="00DD5157" w:rsidRDefault="00DD5157" w:rsidP="00DD5157">
      <w:pPr>
        <w:pStyle w:val="ListParagraph"/>
      </w:pPr>
      <w:r>
        <w:rPr>
          <w:b/>
        </w:rPr>
        <w:t>Apparatus</w:t>
      </w:r>
    </w:p>
    <w:p w14:paraId="7F2FAB69" w14:textId="77777777" w:rsidR="00DD5157" w:rsidRDefault="00DD5157" w:rsidP="00DD5157">
      <w:pPr>
        <w:pStyle w:val="ListParagraph"/>
      </w:pPr>
      <w:r>
        <w:rPr>
          <w:i/>
        </w:rPr>
        <w:t>Gas chromatograph</w:t>
      </w:r>
      <w:r>
        <w:t xml:space="preserve"> equipped with a split/</w:t>
      </w:r>
      <w:proofErr w:type="spellStart"/>
      <w:r>
        <w:t>splitless</w:t>
      </w:r>
      <w:proofErr w:type="spellEnd"/>
      <w:r>
        <w:t xml:space="preserve"> injection and a flame ionization detector.</w:t>
      </w:r>
    </w:p>
    <w:p w14:paraId="62CFDE0B" w14:textId="77777777" w:rsidR="00DD5157" w:rsidRDefault="00DD5157" w:rsidP="00DD5157">
      <w:pPr>
        <w:pStyle w:val="ListParagraph"/>
      </w:pPr>
      <w:r>
        <w:rPr>
          <w:i/>
        </w:rPr>
        <w:t xml:space="preserve">Capillary column </w:t>
      </w:r>
      <w:r>
        <w:t>fused silica, 30 m x 0.25 (</w:t>
      </w:r>
      <w:proofErr w:type="spellStart"/>
      <w:r>
        <w:t>i.d.</w:t>
      </w:r>
      <w:proofErr w:type="spellEnd"/>
      <w:r>
        <w:t xml:space="preserve">) mm, film thickness: 0.25 </w:t>
      </w:r>
      <w:r>
        <w:rPr>
          <w:rFonts w:cstheme="minorHAnsi"/>
        </w:rPr>
        <w:t>µ</w:t>
      </w:r>
      <w:r>
        <w:t xml:space="preserve">m, coated with crosslinked 14% </w:t>
      </w:r>
      <w:proofErr w:type="spellStart"/>
      <w:r>
        <w:t>cyanopropylphenyl</w:t>
      </w:r>
      <w:proofErr w:type="spellEnd"/>
      <w:r>
        <w:t xml:space="preserve"> 86% dimethyl </w:t>
      </w:r>
      <w:proofErr w:type="spellStart"/>
      <w:r>
        <w:t>polysiloxane</w:t>
      </w:r>
      <w:proofErr w:type="spellEnd"/>
      <w:r>
        <w:t xml:space="preserve"> (DB-1701 or equivalent)</w:t>
      </w:r>
    </w:p>
    <w:p w14:paraId="0D29B056" w14:textId="1EBCA124" w:rsidR="00A24F65" w:rsidRDefault="00DD5157" w:rsidP="00BB718C">
      <w:pPr>
        <w:pStyle w:val="ListParagraph"/>
        <w:rPr>
          <w:i/>
        </w:rPr>
      </w:pPr>
      <w:r>
        <w:rPr>
          <w:i/>
        </w:rPr>
        <w:t xml:space="preserve">Electronic integrator </w:t>
      </w:r>
      <w:r>
        <w:t xml:space="preserve">or </w:t>
      </w:r>
      <w:r>
        <w:rPr>
          <w:i/>
        </w:rPr>
        <w:t>data system</w:t>
      </w:r>
    </w:p>
    <w:p w14:paraId="457EA1B1" w14:textId="77777777" w:rsidR="00BB718C" w:rsidRDefault="00BB718C" w:rsidP="00BB718C">
      <w:pPr>
        <w:pStyle w:val="ListParagraph"/>
      </w:pPr>
    </w:p>
    <w:p w14:paraId="2CE62369" w14:textId="77777777" w:rsidR="00DD5157" w:rsidRPr="009A5B4C" w:rsidRDefault="00DD5157" w:rsidP="00DD5157">
      <w:pPr>
        <w:pStyle w:val="ListParagraph"/>
      </w:pPr>
      <w:r>
        <w:rPr>
          <w:b/>
        </w:rPr>
        <w:t>Procedure</w:t>
      </w:r>
      <w:r>
        <w:rPr>
          <w:b/>
        </w:rPr>
        <w:br/>
      </w:r>
    </w:p>
    <w:p w14:paraId="13E92C65" w14:textId="002F79E6" w:rsidR="00DD5157" w:rsidRPr="007B26B3" w:rsidRDefault="00DD5157" w:rsidP="00DD5157">
      <w:pPr>
        <w:pStyle w:val="ListParagraph"/>
        <w:numPr>
          <w:ilvl w:val="1"/>
          <w:numId w:val="2"/>
        </w:numPr>
        <w:rPr>
          <w:i/>
        </w:rPr>
      </w:pPr>
      <w:r w:rsidRPr="007B26B3">
        <w:rPr>
          <w:i/>
        </w:rPr>
        <w:t xml:space="preserve">Chromatographic Conditions </w:t>
      </w:r>
    </w:p>
    <w:tbl>
      <w:tblPr>
        <w:tblStyle w:val="TableGrid"/>
        <w:tblW w:w="0" w:type="auto"/>
        <w:tblInd w:w="1440" w:type="dxa"/>
        <w:tblLook w:val="04A0" w:firstRow="1" w:lastRow="0" w:firstColumn="1" w:lastColumn="0" w:noHBand="0" w:noVBand="1"/>
      </w:tblPr>
      <w:tblGrid>
        <w:gridCol w:w="3985"/>
        <w:gridCol w:w="4151"/>
      </w:tblGrid>
      <w:tr w:rsidR="00DD5157" w14:paraId="26E85452" w14:textId="77777777" w:rsidTr="00AB64E4">
        <w:tc>
          <w:tcPr>
            <w:tcW w:w="4788" w:type="dxa"/>
          </w:tcPr>
          <w:p w14:paraId="7358C979" w14:textId="77777777" w:rsidR="00DD5157" w:rsidRPr="009A5B4C" w:rsidRDefault="00DD5157" w:rsidP="00AB64E4">
            <w:pPr>
              <w:jc w:val="center"/>
              <w:rPr>
                <w:b/>
              </w:rPr>
            </w:pPr>
            <w:r w:rsidRPr="009A5B4C">
              <w:rPr>
                <w:b/>
              </w:rPr>
              <w:t>Parameter</w:t>
            </w:r>
          </w:p>
        </w:tc>
        <w:tc>
          <w:tcPr>
            <w:tcW w:w="4788" w:type="dxa"/>
          </w:tcPr>
          <w:p w14:paraId="30361C4C" w14:textId="77777777" w:rsidR="00DD5157" w:rsidRPr="009A5B4C" w:rsidRDefault="00DD5157" w:rsidP="00AB64E4">
            <w:pPr>
              <w:jc w:val="center"/>
              <w:rPr>
                <w:b/>
              </w:rPr>
            </w:pPr>
            <w:r w:rsidRPr="009A5B4C">
              <w:rPr>
                <w:b/>
              </w:rPr>
              <w:t>Specification</w:t>
            </w:r>
          </w:p>
        </w:tc>
      </w:tr>
      <w:tr w:rsidR="00DD5157" w14:paraId="56D1C9AA" w14:textId="77777777" w:rsidTr="00AB64E4">
        <w:tc>
          <w:tcPr>
            <w:tcW w:w="4788" w:type="dxa"/>
            <w:vAlign w:val="center"/>
          </w:tcPr>
          <w:p w14:paraId="39F796EB" w14:textId="77777777" w:rsidR="00DD5157" w:rsidRDefault="00DD5157" w:rsidP="00AB64E4">
            <w:pPr>
              <w:jc w:val="center"/>
            </w:pPr>
            <w:r>
              <w:t>Column</w:t>
            </w:r>
          </w:p>
        </w:tc>
        <w:tc>
          <w:tcPr>
            <w:tcW w:w="4788" w:type="dxa"/>
          </w:tcPr>
          <w:p w14:paraId="6A6599FF" w14:textId="77777777" w:rsidR="00DD5157" w:rsidRDefault="00DD5157" w:rsidP="00AB64E4">
            <w:pPr>
              <w:jc w:val="center"/>
            </w:pPr>
            <w:r>
              <w:t>fused silica, 30 m x 0.25 (</w:t>
            </w:r>
            <w:proofErr w:type="spellStart"/>
            <w:r>
              <w:t>i.d.</w:t>
            </w:r>
            <w:proofErr w:type="spellEnd"/>
            <w:r>
              <w:t xml:space="preserve">) mm, film thickness: 0.25 </w:t>
            </w:r>
            <w:r>
              <w:rPr>
                <w:rFonts w:cstheme="minorHAnsi"/>
              </w:rPr>
              <w:t>µ</w:t>
            </w:r>
            <w:r>
              <w:t xml:space="preserve">m, coated with crosslinked 14% </w:t>
            </w:r>
            <w:proofErr w:type="spellStart"/>
            <w:r>
              <w:t>cyanopropylphenyl</w:t>
            </w:r>
            <w:proofErr w:type="spellEnd"/>
            <w:r>
              <w:t xml:space="preserve"> 86% dimethyl </w:t>
            </w:r>
            <w:proofErr w:type="spellStart"/>
            <w:r>
              <w:t>polysiloxane</w:t>
            </w:r>
            <w:proofErr w:type="spellEnd"/>
            <w:r>
              <w:t xml:space="preserve"> (DB-1701 or equivalent)</w:t>
            </w:r>
          </w:p>
        </w:tc>
      </w:tr>
      <w:tr w:rsidR="00DD5157" w14:paraId="261618EC" w14:textId="77777777" w:rsidTr="00AB64E4">
        <w:tc>
          <w:tcPr>
            <w:tcW w:w="4788" w:type="dxa"/>
            <w:vAlign w:val="center"/>
          </w:tcPr>
          <w:p w14:paraId="49326C87" w14:textId="77777777" w:rsidR="00DD5157" w:rsidRDefault="00DD5157" w:rsidP="00AB64E4">
            <w:pPr>
              <w:jc w:val="center"/>
            </w:pPr>
            <w:r>
              <w:t>Injector</w:t>
            </w:r>
          </w:p>
        </w:tc>
        <w:tc>
          <w:tcPr>
            <w:tcW w:w="4788" w:type="dxa"/>
          </w:tcPr>
          <w:p w14:paraId="2E7A54DB" w14:textId="77777777" w:rsidR="00DD5157" w:rsidRDefault="00DD5157" w:rsidP="00AB64E4">
            <w:pPr>
              <w:jc w:val="center"/>
            </w:pPr>
            <w:r>
              <w:t>Split injection</w:t>
            </w:r>
          </w:p>
        </w:tc>
      </w:tr>
      <w:tr w:rsidR="00DD5157" w14:paraId="6547DBC3" w14:textId="77777777" w:rsidTr="00AB64E4">
        <w:tc>
          <w:tcPr>
            <w:tcW w:w="4788" w:type="dxa"/>
            <w:vAlign w:val="center"/>
          </w:tcPr>
          <w:p w14:paraId="38C6D486" w14:textId="77777777" w:rsidR="00DD5157" w:rsidRDefault="00DD5157" w:rsidP="00AB64E4">
            <w:pPr>
              <w:jc w:val="center"/>
            </w:pPr>
            <w:r>
              <w:t>Split Flow</w:t>
            </w:r>
          </w:p>
        </w:tc>
        <w:tc>
          <w:tcPr>
            <w:tcW w:w="4788" w:type="dxa"/>
          </w:tcPr>
          <w:p w14:paraId="3ED3FAC3" w14:textId="77777777" w:rsidR="00DD5157" w:rsidRDefault="00DD5157" w:rsidP="00AB64E4">
            <w:pPr>
              <w:jc w:val="center"/>
            </w:pPr>
            <w:r>
              <w:t>Approximately 100 mL/min</w:t>
            </w:r>
          </w:p>
        </w:tc>
      </w:tr>
      <w:tr w:rsidR="00DD5157" w14:paraId="162D5ADF" w14:textId="77777777" w:rsidTr="00AB64E4">
        <w:tc>
          <w:tcPr>
            <w:tcW w:w="4788" w:type="dxa"/>
            <w:vAlign w:val="center"/>
          </w:tcPr>
          <w:p w14:paraId="10C6A847" w14:textId="77777777" w:rsidR="00DD5157" w:rsidRDefault="00DD5157" w:rsidP="00AB64E4">
            <w:pPr>
              <w:jc w:val="center"/>
            </w:pPr>
            <w:r>
              <w:t>Injection Volume</w:t>
            </w:r>
          </w:p>
        </w:tc>
        <w:tc>
          <w:tcPr>
            <w:tcW w:w="4788" w:type="dxa"/>
          </w:tcPr>
          <w:p w14:paraId="30325681" w14:textId="77777777" w:rsidR="00DD5157" w:rsidRDefault="00DD5157" w:rsidP="00AB64E4">
            <w:pPr>
              <w:jc w:val="center"/>
            </w:pPr>
            <w:r>
              <w:t xml:space="preserve">1 </w:t>
            </w:r>
            <w:r>
              <w:rPr>
                <w:rFonts w:cstheme="minorHAnsi"/>
              </w:rPr>
              <w:t>µ</w:t>
            </w:r>
            <w:r>
              <w:t>L</w:t>
            </w:r>
          </w:p>
        </w:tc>
      </w:tr>
      <w:tr w:rsidR="00DD5157" w14:paraId="39666ADC" w14:textId="77777777" w:rsidTr="00AB64E4">
        <w:tc>
          <w:tcPr>
            <w:tcW w:w="4788" w:type="dxa"/>
            <w:vAlign w:val="center"/>
          </w:tcPr>
          <w:p w14:paraId="6503E5D7" w14:textId="77777777" w:rsidR="00DD5157" w:rsidRDefault="00DD5157" w:rsidP="00AB64E4">
            <w:pPr>
              <w:jc w:val="center"/>
            </w:pPr>
            <w:r>
              <w:t>Detector</w:t>
            </w:r>
          </w:p>
        </w:tc>
        <w:tc>
          <w:tcPr>
            <w:tcW w:w="4788" w:type="dxa"/>
          </w:tcPr>
          <w:p w14:paraId="61955839" w14:textId="77777777" w:rsidR="00DD5157" w:rsidRDefault="00DD5157" w:rsidP="00AB64E4">
            <w:pPr>
              <w:jc w:val="center"/>
            </w:pPr>
            <w:r>
              <w:t>Flame ionization</w:t>
            </w:r>
          </w:p>
        </w:tc>
      </w:tr>
      <w:tr w:rsidR="00DD5157" w14:paraId="3ACE4110" w14:textId="77777777" w:rsidTr="00AB64E4">
        <w:tc>
          <w:tcPr>
            <w:tcW w:w="4788" w:type="dxa"/>
            <w:vAlign w:val="center"/>
          </w:tcPr>
          <w:p w14:paraId="291E3FD5" w14:textId="77777777" w:rsidR="00DD5157" w:rsidRDefault="00DD5157" w:rsidP="00AB64E4">
            <w:pPr>
              <w:jc w:val="center"/>
            </w:pPr>
            <w:r>
              <w:t>Column Oven</w:t>
            </w:r>
          </w:p>
        </w:tc>
        <w:tc>
          <w:tcPr>
            <w:tcW w:w="4788" w:type="dxa"/>
          </w:tcPr>
          <w:p w14:paraId="088393EB" w14:textId="77777777" w:rsidR="00DD5157" w:rsidRDefault="00DD5157" w:rsidP="00AB64E4">
            <w:pPr>
              <w:jc w:val="center"/>
            </w:pPr>
            <w:r>
              <w:t>245 ºC</w:t>
            </w:r>
          </w:p>
        </w:tc>
      </w:tr>
      <w:tr w:rsidR="00DD5157" w14:paraId="6B3B2F6B" w14:textId="77777777" w:rsidTr="00AB64E4">
        <w:tc>
          <w:tcPr>
            <w:tcW w:w="4788" w:type="dxa"/>
            <w:vAlign w:val="center"/>
          </w:tcPr>
          <w:p w14:paraId="15A2E07A" w14:textId="77777777" w:rsidR="00DD5157" w:rsidRDefault="00DD5157" w:rsidP="00AB64E4">
            <w:pPr>
              <w:jc w:val="center"/>
            </w:pPr>
            <w:r>
              <w:t>Injection Port</w:t>
            </w:r>
          </w:p>
        </w:tc>
        <w:tc>
          <w:tcPr>
            <w:tcW w:w="4788" w:type="dxa"/>
          </w:tcPr>
          <w:p w14:paraId="248A5DBF" w14:textId="77777777" w:rsidR="00DD5157" w:rsidRPr="00570BBA" w:rsidRDefault="00DD5157" w:rsidP="00AB64E4">
            <w:pPr>
              <w:jc w:val="center"/>
              <w:rPr>
                <w:rFonts w:ascii="Arial" w:hAnsi="Arial" w:cs="Arial"/>
              </w:rPr>
            </w:pPr>
            <w:r>
              <w:t xml:space="preserve">270 </w:t>
            </w:r>
            <w:r w:rsidRPr="00570BBA">
              <w:rPr>
                <w:rFonts w:cstheme="minorHAnsi"/>
              </w:rPr>
              <w:t>ºC</w:t>
            </w:r>
          </w:p>
        </w:tc>
      </w:tr>
      <w:tr w:rsidR="00DD5157" w14:paraId="4C1113B5" w14:textId="77777777" w:rsidTr="00AB64E4">
        <w:tc>
          <w:tcPr>
            <w:tcW w:w="4788" w:type="dxa"/>
            <w:vAlign w:val="center"/>
          </w:tcPr>
          <w:p w14:paraId="5896FD34" w14:textId="77777777" w:rsidR="00DD5157" w:rsidRDefault="00DD5157" w:rsidP="00AB64E4">
            <w:pPr>
              <w:jc w:val="center"/>
            </w:pPr>
            <w:r>
              <w:t>Detector</w:t>
            </w:r>
          </w:p>
        </w:tc>
        <w:tc>
          <w:tcPr>
            <w:tcW w:w="4788" w:type="dxa"/>
          </w:tcPr>
          <w:p w14:paraId="337C8BEF" w14:textId="77777777" w:rsidR="00DD5157" w:rsidRDefault="00DD5157" w:rsidP="00AB64E4">
            <w:pPr>
              <w:jc w:val="center"/>
            </w:pPr>
            <w:r>
              <w:t>270 ºC</w:t>
            </w:r>
          </w:p>
        </w:tc>
      </w:tr>
      <w:tr w:rsidR="00DD5157" w14:paraId="43D61083" w14:textId="77777777" w:rsidTr="00AB64E4">
        <w:tc>
          <w:tcPr>
            <w:tcW w:w="4788" w:type="dxa"/>
            <w:vAlign w:val="center"/>
          </w:tcPr>
          <w:p w14:paraId="462DF652" w14:textId="77777777" w:rsidR="00DD5157" w:rsidRDefault="00DD5157" w:rsidP="00AB64E4">
            <w:pPr>
              <w:jc w:val="center"/>
            </w:pPr>
            <w:r>
              <w:t>Carrier Gas</w:t>
            </w:r>
          </w:p>
        </w:tc>
        <w:tc>
          <w:tcPr>
            <w:tcW w:w="4788" w:type="dxa"/>
          </w:tcPr>
          <w:p w14:paraId="6C4F9362" w14:textId="77777777" w:rsidR="00DD5157" w:rsidRDefault="00DD5157" w:rsidP="00AB64E4">
            <w:pPr>
              <w:jc w:val="center"/>
            </w:pPr>
            <w:r>
              <w:t>Helium, 35cm/s</w:t>
            </w:r>
          </w:p>
        </w:tc>
      </w:tr>
      <w:tr w:rsidR="00DD5157" w14:paraId="0C8F7417" w14:textId="77777777" w:rsidTr="00AB64E4">
        <w:tc>
          <w:tcPr>
            <w:tcW w:w="4788" w:type="dxa"/>
            <w:vAlign w:val="center"/>
          </w:tcPr>
          <w:p w14:paraId="06443973" w14:textId="77777777" w:rsidR="00DD5157" w:rsidRDefault="00DD5157" w:rsidP="00AB64E4">
            <w:pPr>
              <w:jc w:val="center"/>
            </w:pPr>
            <w:r>
              <w:t>Retention Times</w:t>
            </w:r>
          </w:p>
        </w:tc>
        <w:tc>
          <w:tcPr>
            <w:tcW w:w="4788" w:type="dxa"/>
          </w:tcPr>
          <w:p w14:paraId="025CABAD" w14:textId="77777777" w:rsidR="00DD5157" w:rsidRDefault="00DD5157" w:rsidP="00AB64E4">
            <w:pPr>
              <w:jc w:val="center"/>
            </w:pPr>
            <w:r>
              <w:t>Prallethrin: about 4.7 min</w:t>
            </w:r>
          </w:p>
          <w:p w14:paraId="3832B67C" w14:textId="77777777" w:rsidR="00DD5157" w:rsidRDefault="00DD5157" w:rsidP="00AB64E4">
            <w:pPr>
              <w:jc w:val="center"/>
            </w:pPr>
            <w:r>
              <w:t>Triphenyl Phosphate: about 10.2 min</w:t>
            </w:r>
          </w:p>
        </w:tc>
      </w:tr>
    </w:tbl>
    <w:p w14:paraId="28525098" w14:textId="40248AF1" w:rsidR="00DD5157" w:rsidRDefault="00DD5157" w:rsidP="0055065B"/>
    <w:p w14:paraId="372959F1" w14:textId="2266821A" w:rsidR="00FE5CE5" w:rsidRDefault="00FE5CE5" w:rsidP="00FE5CE5">
      <w:pPr>
        <w:pStyle w:val="ListParagraph"/>
        <w:numPr>
          <w:ilvl w:val="1"/>
          <w:numId w:val="2"/>
        </w:numPr>
        <w:rPr>
          <w:i/>
        </w:rPr>
      </w:pPr>
      <w:r>
        <w:rPr>
          <w:i/>
        </w:rPr>
        <w:lastRenderedPageBreak/>
        <w:t>Linearity Check</w:t>
      </w:r>
      <w:r>
        <w:rPr>
          <w:i/>
        </w:rPr>
        <w:br/>
      </w:r>
      <w:r>
        <w:t xml:space="preserve">Check the linearity of the detector response by injecting 1 </w:t>
      </w:r>
      <w:r>
        <w:rPr>
          <w:rFonts w:cstheme="minorHAnsi"/>
        </w:rPr>
        <w:t>µ</w:t>
      </w:r>
      <w:r>
        <w:t xml:space="preserve">L of solutions with </w:t>
      </w:r>
      <w:proofErr w:type="spellStart"/>
      <w:r>
        <w:t>prallethrin</w:t>
      </w:r>
      <w:proofErr w:type="spellEnd"/>
      <w:r>
        <w:t xml:space="preserve"> concentrations 0.5, 1, and 2 times that of the calibration solution before conducting analysis. The solutions prepared had theoretical concentrations (mg/mL): 0.516, 1.052, and 2.141. When plotted vs their response time the R</w:t>
      </w:r>
      <w:r>
        <w:rPr>
          <w:vertAlign w:val="superscript"/>
        </w:rPr>
        <w:t>2</w:t>
      </w:r>
      <w:r>
        <w:t xml:space="preserve"> value was </w:t>
      </w:r>
      <w:r>
        <w:rPr>
          <w:rFonts w:cstheme="minorHAnsi"/>
        </w:rPr>
        <w:t>≥</w:t>
      </w:r>
      <w:r>
        <w:t>0.99.</w:t>
      </w:r>
      <w:r>
        <w:br/>
      </w:r>
      <w:r>
        <w:br/>
      </w:r>
      <w:r>
        <w:rPr>
          <w:noProof/>
        </w:rPr>
        <w:drawing>
          <wp:inline distT="0" distB="0" distL="0" distR="0" wp14:anchorId="5B96F037" wp14:editId="488A6724">
            <wp:extent cx="5410200" cy="3309938"/>
            <wp:effectExtent l="0" t="0" r="19050" b="241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EA9D6C" w14:textId="77777777" w:rsidR="00DD5157" w:rsidRPr="007B26B3" w:rsidRDefault="00DD5157" w:rsidP="00DD5157">
      <w:pPr>
        <w:pStyle w:val="ListParagraph"/>
        <w:numPr>
          <w:ilvl w:val="1"/>
          <w:numId w:val="2"/>
        </w:numPr>
        <w:rPr>
          <w:i/>
        </w:rPr>
      </w:pPr>
      <w:r>
        <w:rPr>
          <w:i/>
        </w:rPr>
        <w:t>System equilibration</w:t>
      </w:r>
      <w:r>
        <w:rPr>
          <w:i/>
        </w:rPr>
        <w:br/>
      </w:r>
      <w:r>
        <w:t xml:space="preserve">Prepare two calibration solutions. Inject 1 </w:t>
      </w:r>
      <w:r>
        <w:rPr>
          <w:rFonts w:cstheme="minorHAnsi"/>
        </w:rPr>
        <w:t>µ</w:t>
      </w:r>
      <w:r>
        <w:t>L portions of the first one until the response factors obtained for two consecutive injections differ by less than 1.0%. Then inject a 1</w:t>
      </w:r>
      <w:r>
        <w:rPr>
          <w:rFonts w:cstheme="minorHAnsi"/>
        </w:rPr>
        <w:t xml:space="preserve"> µL portion of the second solution. The response factor for this solution should not deviate by more than 1.0% from that for the first calibration solution, otherwise prepare new calibration solutions.</w:t>
      </w:r>
      <w:r>
        <w:br/>
      </w:r>
    </w:p>
    <w:p w14:paraId="5BA64001" w14:textId="1CA4D4C3" w:rsidR="00DD5157" w:rsidRPr="00B7008A" w:rsidRDefault="00DD5157" w:rsidP="00DD5157">
      <w:pPr>
        <w:pStyle w:val="ListParagraph"/>
        <w:numPr>
          <w:ilvl w:val="1"/>
          <w:numId w:val="2"/>
        </w:numPr>
        <w:rPr>
          <w:i/>
        </w:rPr>
      </w:pPr>
      <w:r>
        <w:rPr>
          <w:i/>
        </w:rPr>
        <w:t>Preparation of sample solution</w:t>
      </w:r>
      <w:r>
        <w:rPr>
          <w:i/>
        </w:rPr>
        <w:br/>
      </w:r>
      <w:r>
        <w:t xml:space="preserve">Prepare sample solutions in duplicate for each sample. </w:t>
      </w:r>
      <w:r w:rsidR="0031694D">
        <w:t>Add by pipette 3.0mL of</w:t>
      </w:r>
      <w:r>
        <w:t xml:space="preserve"> </w:t>
      </w:r>
      <w:proofErr w:type="spellStart"/>
      <w:r>
        <w:t>prallethrin</w:t>
      </w:r>
      <w:proofErr w:type="spellEnd"/>
      <w:r>
        <w:t xml:space="preserve"> technical into a volumetric flask (</w:t>
      </w:r>
      <w:r w:rsidR="0031694D">
        <w:t>20</w:t>
      </w:r>
      <w:r>
        <w:t xml:space="preserve"> mL). Add by pipette internal standard solution (</w:t>
      </w:r>
      <w:r w:rsidR="0031694D">
        <w:t>1</w:t>
      </w:r>
      <w:r>
        <w:t>.0 mL) and dissolve. Make up to volume with acetone and mix well. (Solutions S</w:t>
      </w:r>
      <w:r>
        <w:softHyphen/>
      </w:r>
      <w:r>
        <w:rPr>
          <w:vertAlign w:val="subscript"/>
        </w:rPr>
        <w:t>A</w:t>
      </w:r>
      <w:r>
        <w:t xml:space="preserve"> and S</w:t>
      </w:r>
      <w:r>
        <w:rPr>
          <w:vertAlign w:val="subscript"/>
        </w:rPr>
        <w:t>B</w:t>
      </w:r>
      <w:r>
        <w:t xml:space="preserve">). </w:t>
      </w:r>
      <w:r>
        <w:br/>
      </w:r>
    </w:p>
    <w:p w14:paraId="13F2454D" w14:textId="77777777" w:rsidR="00DD5157" w:rsidRPr="001B7286" w:rsidRDefault="00DD5157" w:rsidP="00DD5157">
      <w:pPr>
        <w:pStyle w:val="ListParagraph"/>
        <w:numPr>
          <w:ilvl w:val="1"/>
          <w:numId w:val="2"/>
        </w:numPr>
        <w:rPr>
          <w:i/>
        </w:rPr>
      </w:pPr>
      <w:r>
        <w:rPr>
          <w:i/>
        </w:rPr>
        <w:t>Determination</w:t>
      </w:r>
      <w:r>
        <w:rPr>
          <w:i/>
        </w:rPr>
        <w:br/>
      </w:r>
      <w:r>
        <w:t xml:space="preserve">Inject in duplicate 1 </w:t>
      </w:r>
      <w:r>
        <w:rPr>
          <w:rFonts w:cstheme="minorHAnsi"/>
        </w:rPr>
        <w:t>µ</w:t>
      </w:r>
      <w:r>
        <w:t>L portions of each sample solution bracketing them by injections of the calibration solutions as follows: calibration solution C</w:t>
      </w:r>
      <w:r>
        <w:rPr>
          <w:vertAlign w:val="subscript"/>
        </w:rPr>
        <w:t>A</w:t>
      </w:r>
      <w:r>
        <w:t>, sample solution S</w:t>
      </w:r>
      <w:r>
        <w:rPr>
          <w:vertAlign w:val="subscript"/>
        </w:rPr>
        <w:t>A</w:t>
      </w:r>
      <w:r>
        <w:t>, sample solution S</w:t>
      </w:r>
      <w:r>
        <w:rPr>
          <w:vertAlign w:val="subscript"/>
        </w:rPr>
        <w:t>B</w:t>
      </w:r>
      <w:r>
        <w:t>, calibration solution C</w:t>
      </w:r>
      <w:r>
        <w:rPr>
          <w:vertAlign w:val="subscript"/>
        </w:rPr>
        <w:t>B</w:t>
      </w:r>
      <w:r>
        <w:t>, sample solution S</w:t>
      </w:r>
      <w:r>
        <w:rPr>
          <w:vertAlign w:val="subscript"/>
        </w:rPr>
        <w:t>B</w:t>
      </w:r>
      <w:r>
        <w:rPr>
          <w:vertAlign w:val="subscript"/>
        </w:rPr>
        <w:softHyphen/>
      </w:r>
      <w:r>
        <w:t>, sample solution S</w:t>
      </w:r>
      <w:r>
        <w:rPr>
          <w:vertAlign w:val="subscript"/>
        </w:rPr>
        <w:t>B</w:t>
      </w:r>
      <w:r>
        <w:t>, calibration solution C</w:t>
      </w:r>
      <w:r>
        <w:rPr>
          <w:vertAlign w:val="subscript"/>
        </w:rPr>
        <w:t>A</w:t>
      </w:r>
      <w:r>
        <w:t>, and so on. Measure the relevant peak areas.</w:t>
      </w:r>
    </w:p>
    <w:p w14:paraId="505953C5" w14:textId="77777777" w:rsidR="00DD5157" w:rsidRPr="00FB31E8" w:rsidRDefault="00DD5157" w:rsidP="00DD5157">
      <w:pPr>
        <w:pStyle w:val="ListParagraph"/>
        <w:ind w:left="1440"/>
        <w:rPr>
          <w:i/>
        </w:rPr>
      </w:pPr>
    </w:p>
    <w:p w14:paraId="5199E8A6" w14:textId="69276FEA" w:rsidR="00FE5CE5" w:rsidRPr="00DD5157" w:rsidRDefault="00DD5157" w:rsidP="00D14560">
      <w:pPr>
        <w:pStyle w:val="ListParagraph"/>
        <w:numPr>
          <w:ilvl w:val="1"/>
          <w:numId w:val="2"/>
        </w:numPr>
      </w:pPr>
      <w:r w:rsidRPr="00BB718C">
        <w:rPr>
          <w:i/>
        </w:rPr>
        <w:t>Calculation</w:t>
      </w:r>
      <w:r w:rsidRPr="00BB718C">
        <w:rPr>
          <w:i/>
        </w:rPr>
        <w:br/>
      </w:r>
      <w:r>
        <w:t xml:space="preserve">Calculate the </w:t>
      </w:r>
      <w:r w:rsidR="0031694D">
        <w:t>concentration by using the linear plot of Response Factor (Prallethrin Response/ISTD response) vs Volume of Standard Added</w:t>
      </w:r>
      <w:r w:rsidR="00E82CE1">
        <w:t xml:space="preserve"> utilizing the slope and Y-intercept of the linear regression plot</w:t>
      </w:r>
      <w:r>
        <w:t xml:space="preserve">. </w:t>
      </w:r>
      <w:r>
        <w:br/>
      </w:r>
      <w:r w:rsidRPr="00BB718C">
        <w:rPr>
          <w:i/>
        </w:rPr>
        <w:br/>
      </w:r>
      <w:proofErr w:type="spellStart"/>
      <w:r w:rsidR="00E82CE1" w:rsidRPr="00BB718C">
        <w:rPr>
          <w:i/>
        </w:rPr>
        <w:t>C</w:t>
      </w:r>
      <w:r w:rsidR="00E82CE1" w:rsidRPr="00BB718C">
        <w:rPr>
          <w:i/>
          <w:vertAlign w:val="subscript"/>
        </w:rPr>
        <w:t>x</w:t>
      </w:r>
      <w:proofErr w:type="spellEnd"/>
      <w:r w:rsidR="00E82CE1">
        <w:t xml:space="preserve"> = (</w:t>
      </w:r>
      <w:r w:rsidR="00E82CE1" w:rsidRPr="00BB718C">
        <w:rPr>
          <w:i/>
        </w:rPr>
        <w:t xml:space="preserve">b </w:t>
      </w:r>
      <w:r w:rsidR="00E82CE1">
        <w:t xml:space="preserve"> * </w:t>
      </w:r>
      <w:r w:rsidR="00E82CE1" w:rsidRPr="00BB718C">
        <w:rPr>
          <w:i/>
        </w:rPr>
        <w:t>C</w:t>
      </w:r>
      <w:r w:rsidR="00E82CE1" w:rsidRPr="00BB718C">
        <w:rPr>
          <w:i/>
          <w:vertAlign w:val="subscript"/>
        </w:rPr>
        <w:t>s</w:t>
      </w:r>
      <w:r w:rsidR="00E82CE1">
        <w:t>) / (</w:t>
      </w:r>
      <w:r w:rsidR="00E82CE1" w:rsidRPr="00BB718C">
        <w:rPr>
          <w:i/>
        </w:rPr>
        <w:t>m</w:t>
      </w:r>
      <w:r w:rsidR="00E82CE1">
        <w:t xml:space="preserve"> * </w:t>
      </w:r>
      <w:proofErr w:type="spellStart"/>
      <w:r w:rsidR="00E82CE1" w:rsidRPr="00BB718C">
        <w:rPr>
          <w:i/>
        </w:rPr>
        <w:t>V</w:t>
      </w:r>
      <w:r w:rsidR="00E82CE1" w:rsidRPr="00BB718C">
        <w:rPr>
          <w:i/>
          <w:vertAlign w:val="subscript"/>
        </w:rPr>
        <w:t>x</w:t>
      </w:r>
      <w:proofErr w:type="spellEnd"/>
      <w:r w:rsidR="00E82CE1" w:rsidRPr="00BB718C">
        <w:rPr>
          <w:i/>
        </w:rPr>
        <w:t>)</w:t>
      </w:r>
      <w:r w:rsidR="00E82CE1" w:rsidRPr="00BB718C">
        <w:rPr>
          <w:i/>
        </w:rPr>
        <w:br/>
      </w:r>
      <w:r w:rsidR="004A6003">
        <w:br/>
      </w:r>
      <w:proofErr w:type="spellStart"/>
      <w:r w:rsidR="004A6003">
        <w:t>Prallethrin</w:t>
      </w:r>
      <w:proofErr w:type="spellEnd"/>
      <w:r w:rsidR="004A6003">
        <w:t xml:space="preserve"> </w:t>
      </w:r>
      <w:r w:rsidR="00E82CE1">
        <w:t xml:space="preserve">Content (g/kg) = </w:t>
      </w:r>
      <w:proofErr w:type="spellStart"/>
      <w:r w:rsidR="00E82CE1" w:rsidRPr="00BB718C">
        <w:rPr>
          <w:i/>
        </w:rPr>
        <w:t>C</w:t>
      </w:r>
      <w:r w:rsidR="00E82CE1" w:rsidRPr="00BB718C">
        <w:rPr>
          <w:i/>
          <w:vertAlign w:val="subscript"/>
        </w:rPr>
        <w:t>x</w:t>
      </w:r>
      <w:proofErr w:type="spellEnd"/>
      <w:r w:rsidR="00E82CE1">
        <w:t xml:space="preserve"> / </w:t>
      </w:r>
      <w:r w:rsidR="00E82CE1" w:rsidRPr="00BB718C">
        <w:rPr>
          <w:i/>
        </w:rPr>
        <w:t>1.14 g/mL</w:t>
      </w:r>
      <w:r w:rsidR="00E82CE1">
        <w:t xml:space="preserve">  </w:t>
      </w:r>
      <w:r w:rsidR="00E82CE1">
        <w:br/>
      </w:r>
      <w:r w:rsidR="00E82CE1">
        <w:br/>
        <w:t>Where:</w:t>
      </w:r>
      <w:r w:rsidR="00E82CE1">
        <w:br/>
      </w:r>
      <w:proofErr w:type="spellStart"/>
      <w:r w:rsidR="00E82CE1" w:rsidRPr="00BB718C">
        <w:rPr>
          <w:i/>
        </w:rPr>
        <w:t>C</w:t>
      </w:r>
      <w:r w:rsidR="00E82CE1" w:rsidRPr="00BB718C">
        <w:rPr>
          <w:i/>
          <w:vertAlign w:val="subscript"/>
        </w:rPr>
        <w:t>x</w:t>
      </w:r>
      <w:proofErr w:type="spellEnd"/>
      <w:r w:rsidR="00E82CE1">
        <w:t xml:space="preserve"> = Concentration of </w:t>
      </w:r>
      <w:proofErr w:type="spellStart"/>
      <w:r w:rsidR="00E82CE1">
        <w:t>Prallethrin</w:t>
      </w:r>
      <w:proofErr w:type="spellEnd"/>
      <w:r w:rsidR="00E82CE1">
        <w:t xml:space="preserve"> in sample solution (mg/mL)</w:t>
      </w:r>
      <w:r w:rsidR="00E82CE1">
        <w:br/>
      </w:r>
      <w:r w:rsidR="00E82CE1" w:rsidRPr="00BB718C">
        <w:rPr>
          <w:i/>
        </w:rPr>
        <w:t>b</w:t>
      </w:r>
      <w:r w:rsidR="00E82CE1">
        <w:t xml:space="preserve"> = Y-intercept from linearity plot</w:t>
      </w:r>
      <w:r w:rsidR="00E82CE1">
        <w:br/>
      </w:r>
      <w:r w:rsidR="00E82CE1" w:rsidRPr="00BB718C">
        <w:rPr>
          <w:i/>
        </w:rPr>
        <w:t>C</w:t>
      </w:r>
      <w:r w:rsidR="00E82CE1" w:rsidRPr="00BB718C">
        <w:rPr>
          <w:i/>
          <w:vertAlign w:val="subscript"/>
        </w:rPr>
        <w:t>s</w:t>
      </w:r>
      <w:r w:rsidR="00E82CE1" w:rsidRPr="00BB718C">
        <w:rPr>
          <w:i/>
        </w:rPr>
        <w:t xml:space="preserve"> = </w:t>
      </w:r>
      <w:r w:rsidR="00E82CE1">
        <w:t>Concentration of Stock Standard (mg/mL)</w:t>
      </w:r>
      <w:r w:rsidR="00E82CE1">
        <w:br/>
      </w:r>
      <w:r w:rsidR="00E82CE1" w:rsidRPr="00BB718C">
        <w:rPr>
          <w:i/>
        </w:rPr>
        <w:t>m</w:t>
      </w:r>
      <w:r w:rsidR="00E82CE1">
        <w:t xml:space="preserve"> = Slope from linearity plot</w:t>
      </w:r>
      <w:r w:rsidR="00E82CE1">
        <w:br/>
      </w:r>
      <w:proofErr w:type="spellStart"/>
      <w:r w:rsidR="00E82CE1" w:rsidRPr="00BB718C">
        <w:rPr>
          <w:i/>
        </w:rPr>
        <w:t>V</w:t>
      </w:r>
      <w:r w:rsidR="00E82CE1" w:rsidRPr="00BB718C">
        <w:rPr>
          <w:i/>
          <w:vertAlign w:val="subscript"/>
        </w:rPr>
        <w:t>x</w:t>
      </w:r>
      <w:proofErr w:type="spellEnd"/>
      <w:r w:rsidR="00E82CE1">
        <w:t xml:space="preserve"> = Volume of Formulation used (mL)</w:t>
      </w:r>
      <w:r w:rsidR="00E82CE1">
        <w:br/>
      </w:r>
      <w:r w:rsidR="00E82CE1" w:rsidRPr="00BB718C">
        <w:rPr>
          <w:i/>
        </w:rPr>
        <w:t>1.14 g/mL</w:t>
      </w:r>
      <w:r w:rsidR="00E82CE1">
        <w:t xml:space="preserve"> = Density of formulation</w:t>
      </w:r>
      <w:r>
        <w:br/>
      </w:r>
      <w:r w:rsidR="00A24F65">
        <w:br/>
      </w:r>
    </w:p>
    <w:p w14:paraId="36AD1A70" w14:textId="252C0552" w:rsidR="00E82CE1" w:rsidRPr="00E82CE1" w:rsidRDefault="0055065B" w:rsidP="00E82CE1">
      <w:pPr>
        <w:pStyle w:val="ListParagraph"/>
        <w:numPr>
          <w:ilvl w:val="0"/>
          <w:numId w:val="2"/>
        </w:numPr>
        <w:rPr>
          <w:b/>
        </w:rPr>
      </w:pPr>
      <w:r w:rsidRPr="00E82CE1">
        <w:rPr>
          <w:b/>
        </w:rPr>
        <w:t>Prallethrin Identity</w:t>
      </w:r>
      <w:r w:rsidR="00E82CE1" w:rsidRPr="00E82CE1">
        <w:rPr>
          <w:b/>
        </w:rPr>
        <w:br/>
      </w:r>
      <w:r w:rsidR="00E82CE1" w:rsidRPr="00E82CE1">
        <w:rPr>
          <w:b/>
        </w:rPr>
        <w:br/>
      </w:r>
      <w:r w:rsidR="00E82CE1">
        <w:t>To verify and confirm the identity of Prallethrin, GC/MS was used. The following instrument parameters were utilized in the GC/MS analysis:</w:t>
      </w:r>
    </w:p>
    <w:tbl>
      <w:tblPr>
        <w:tblStyle w:val="TableGrid"/>
        <w:tblW w:w="0" w:type="auto"/>
        <w:tblInd w:w="720" w:type="dxa"/>
        <w:tblLook w:val="04A0" w:firstRow="1" w:lastRow="0" w:firstColumn="1" w:lastColumn="0" w:noHBand="0" w:noVBand="1"/>
      </w:tblPr>
      <w:tblGrid>
        <w:gridCol w:w="4436"/>
        <w:gridCol w:w="4420"/>
      </w:tblGrid>
      <w:tr w:rsidR="00E82CE1" w14:paraId="20E97D58" w14:textId="77777777" w:rsidTr="005E1857">
        <w:tc>
          <w:tcPr>
            <w:tcW w:w="4436" w:type="dxa"/>
          </w:tcPr>
          <w:p w14:paraId="29DC011F" w14:textId="77777777" w:rsidR="00E82CE1" w:rsidRPr="00FB0256" w:rsidRDefault="00E82CE1" w:rsidP="005E1857">
            <w:r w:rsidRPr="00FB0256">
              <w:t>Oven Program</w:t>
            </w:r>
          </w:p>
        </w:tc>
        <w:tc>
          <w:tcPr>
            <w:tcW w:w="4420" w:type="dxa"/>
          </w:tcPr>
          <w:p w14:paraId="7823D235" w14:textId="77777777" w:rsidR="00E82CE1" w:rsidRPr="00FB0256" w:rsidRDefault="00E82CE1" w:rsidP="005E1857">
            <w:r w:rsidRPr="00FB0256">
              <w:t>50ºC for 2 minutes</w:t>
            </w:r>
          </w:p>
          <w:p w14:paraId="11443431" w14:textId="77777777" w:rsidR="00E82CE1" w:rsidRPr="00FB0256" w:rsidRDefault="00E82CE1" w:rsidP="005E1857">
            <w:r w:rsidRPr="00FB0256">
              <w:t>10ºC/min to 250ºC for 5 min</w:t>
            </w:r>
          </w:p>
          <w:p w14:paraId="0092F5B9" w14:textId="77777777" w:rsidR="00E82CE1" w:rsidRPr="00FB0256" w:rsidRDefault="00E82CE1" w:rsidP="005E1857">
            <w:pPr>
              <w:rPr>
                <w:rFonts w:ascii="Segoe UI Symbol" w:hAnsi="Segoe UI Symbol"/>
              </w:rPr>
            </w:pPr>
            <w:r w:rsidRPr="00FB0256">
              <w:t>10ºC/min to 325ºC for 10min</w:t>
            </w:r>
          </w:p>
        </w:tc>
      </w:tr>
      <w:tr w:rsidR="00E82CE1" w14:paraId="26B0CE96" w14:textId="77777777" w:rsidTr="005E1857">
        <w:tc>
          <w:tcPr>
            <w:tcW w:w="4436" w:type="dxa"/>
          </w:tcPr>
          <w:p w14:paraId="387A6938" w14:textId="77777777" w:rsidR="00E82CE1" w:rsidRPr="00FB0256" w:rsidRDefault="00E82CE1" w:rsidP="005E1857">
            <w:r w:rsidRPr="00FB0256">
              <w:t>Run time</w:t>
            </w:r>
          </w:p>
        </w:tc>
        <w:tc>
          <w:tcPr>
            <w:tcW w:w="4420" w:type="dxa"/>
          </w:tcPr>
          <w:p w14:paraId="4B235CED" w14:textId="77777777" w:rsidR="00E82CE1" w:rsidRPr="00FB0256" w:rsidRDefault="00E82CE1" w:rsidP="005E1857">
            <w:r w:rsidRPr="00FB0256">
              <w:t>44.5min</w:t>
            </w:r>
          </w:p>
        </w:tc>
      </w:tr>
      <w:tr w:rsidR="00E82CE1" w14:paraId="32B019DC" w14:textId="77777777" w:rsidTr="005E1857">
        <w:tc>
          <w:tcPr>
            <w:tcW w:w="4436" w:type="dxa"/>
          </w:tcPr>
          <w:p w14:paraId="67F205D7" w14:textId="77777777" w:rsidR="00E82CE1" w:rsidRPr="00FB0256" w:rsidRDefault="00E82CE1" w:rsidP="005E1857">
            <w:r w:rsidRPr="00FB0256">
              <w:t>Inlet Temperature</w:t>
            </w:r>
          </w:p>
        </w:tc>
        <w:tc>
          <w:tcPr>
            <w:tcW w:w="4420" w:type="dxa"/>
          </w:tcPr>
          <w:p w14:paraId="4AD6EF88" w14:textId="77777777" w:rsidR="00E82CE1" w:rsidRPr="00FB0256" w:rsidRDefault="00E82CE1" w:rsidP="005E1857">
            <w:pPr>
              <w:rPr>
                <w:rFonts w:ascii="Segoe UI Symbol" w:hAnsi="Segoe UI Symbol"/>
              </w:rPr>
            </w:pPr>
            <w:r w:rsidRPr="00FB0256">
              <w:t>325ºC</w:t>
            </w:r>
          </w:p>
        </w:tc>
      </w:tr>
      <w:tr w:rsidR="00E82CE1" w14:paraId="0FE04A43" w14:textId="77777777" w:rsidTr="005E1857">
        <w:tc>
          <w:tcPr>
            <w:tcW w:w="4436" w:type="dxa"/>
          </w:tcPr>
          <w:p w14:paraId="28DCE484" w14:textId="77777777" w:rsidR="00E82CE1" w:rsidRPr="00FB0256" w:rsidRDefault="00E82CE1" w:rsidP="005E1857">
            <w:r w:rsidRPr="00FB0256">
              <w:t>Injection Volume</w:t>
            </w:r>
          </w:p>
        </w:tc>
        <w:tc>
          <w:tcPr>
            <w:tcW w:w="4420" w:type="dxa"/>
          </w:tcPr>
          <w:p w14:paraId="3D375C64" w14:textId="77777777" w:rsidR="00E82CE1" w:rsidRPr="00FB0256" w:rsidRDefault="00E82CE1" w:rsidP="005E1857">
            <w:r w:rsidRPr="00FB0256">
              <w:t>1</w:t>
            </w:r>
            <w:r w:rsidRPr="00FB0256">
              <w:rPr>
                <w:rFonts w:cstheme="minorHAnsi"/>
              </w:rPr>
              <w:t>µ</w:t>
            </w:r>
            <w:r w:rsidRPr="00FB0256">
              <w:t>L</w:t>
            </w:r>
          </w:p>
        </w:tc>
      </w:tr>
      <w:tr w:rsidR="00E82CE1" w14:paraId="4AE2F457" w14:textId="77777777" w:rsidTr="005E1857">
        <w:tc>
          <w:tcPr>
            <w:tcW w:w="4436" w:type="dxa"/>
          </w:tcPr>
          <w:p w14:paraId="2A8DAF54" w14:textId="77777777" w:rsidR="00E82CE1" w:rsidRPr="00FB0256" w:rsidRDefault="00E82CE1" w:rsidP="005E1857">
            <w:r w:rsidRPr="00FB0256">
              <w:t>Split Injection – Split flow</w:t>
            </w:r>
          </w:p>
        </w:tc>
        <w:tc>
          <w:tcPr>
            <w:tcW w:w="4420" w:type="dxa"/>
          </w:tcPr>
          <w:p w14:paraId="188BEBD4" w14:textId="77777777" w:rsidR="00E82CE1" w:rsidRPr="00FB0256" w:rsidRDefault="00E82CE1" w:rsidP="005E1857">
            <w:r w:rsidRPr="00FB0256">
              <w:t>100mL/min</w:t>
            </w:r>
          </w:p>
        </w:tc>
      </w:tr>
      <w:tr w:rsidR="00E82CE1" w14:paraId="7F947F1F" w14:textId="77777777" w:rsidTr="005E1857">
        <w:tc>
          <w:tcPr>
            <w:tcW w:w="4436" w:type="dxa"/>
          </w:tcPr>
          <w:p w14:paraId="7FC47CA7" w14:textId="77777777" w:rsidR="00E82CE1" w:rsidRPr="00FB0256" w:rsidRDefault="00E82CE1" w:rsidP="005E1857">
            <w:r w:rsidRPr="00FB0256">
              <w:t>Flow velocity</w:t>
            </w:r>
          </w:p>
        </w:tc>
        <w:tc>
          <w:tcPr>
            <w:tcW w:w="4420" w:type="dxa"/>
          </w:tcPr>
          <w:p w14:paraId="2FEF04B6" w14:textId="77777777" w:rsidR="00E82CE1" w:rsidRPr="00FB0256" w:rsidRDefault="00E82CE1" w:rsidP="005E1857">
            <w:r w:rsidRPr="00FB0256">
              <w:t>Helium at 45cm/s</w:t>
            </w:r>
          </w:p>
        </w:tc>
      </w:tr>
      <w:tr w:rsidR="00E82CE1" w14:paraId="41BB6F17" w14:textId="77777777" w:rsidTr="005E1857">
        <w:tc>
          <w:tcPr>
            <w:tcW w:w="4436" w:type="dxa"/>
          </w:tcPr>
          <w:p w14:paraId="7EDDD3A0" w14:textId="77777777" w:rsidR="00E82CE1" w:rsidRPr="00FB0256" w:rsidRDefault="00E82CE1" w:rsidP="005E1857">
            <w:r w:rsidRPr="00FB0256">
              <w:t>Column</w:t>
            </w:r>
          </w:p>
        </w:tc>
        <w:tc>
          <w:tcPr>
            <w:tcW w:w="4420" w:type="dxa"/>
          </w:tcPr>
          <w:p w14:paraId="1F0C9BA3" w14:textId="77777777" w:rsidR="00E82CE1" w:rsidRPr="00FB0256" w:rsidRDefault="00E82CE1" w:rsidP="005E1857">
            <w:r w:rsidRPr="00FB0256">
              <w:t>Agilent HP-5ms: 30m x 250</w:t>
            </w:r>
            <w:r w:rsidRPr="00FB0256">
              <w:rPr>
                <w:rFonts w:cstheme="minorHAnsi"/>
              </w:rPr>
              <w:t>µm</w:t>
            </w:r>
            <w:r w:rsidRPr="00FB0256">
              <w:t xml:space="preserve"> x 0.25</w:t>
            </w:r>
            <w:r w:rsidRPr="00FB0256">
              <w:rPr>
                <w:rFonts w:ascii="Calibri" w:hAnsi="Calibri" w:cs="Calibri"/>
              </w:rPr>
              <w:t>µ</w:t>
            </w:r>
            <w:r w:rsidRPr="00FB0256">
              <w:t>m</w:t>
            </w:r>
          </w:p>
        </w:tc>
      </w:tr>
      <w:tr w:rsidR="00E82CE1" w14:paraId="4E99306F" w14:textId="77777777" w:rsidTr="005E1857">
        <w:tc>
          <w:tcPr>
            <w:tcW w:w="4436" w:type="dxa"/>
          </w:tcPr>
          <w:p w14:paraId="4EA1AC02" w14:textId="77777777" w:rsidR="00E82CE1" w:rsidRPr="00FB0256" w:rsidRDefault="00E82CE1" w:rsidP="005E1857">
            <w:r w:rsidRPr="00FB0256">
              <w:t>MSD Transfer Line</w:t>
            </w:r>
          </w:p>
        </w:tc>
        <w:tc>
          <w:tcPr>
            <w:tcW w:w="4420" w:type="dxa"/>
          </w:tcPr>
          <w:p w14:paraId="2B509CB9" w14:textId="77777777" w:rsidR="00E82CE1" w:rsidRPr="00FB0256" w:rsidRDefault="00E82CE1" w:rsidP="005E1857">
            <w:r w:rsidRPr="00FB0256">
              <w:t>335ºC</w:t>
            </w:r>
          </w:p>
        </w:tc>
      </w:tr>
      <w:tr w:rsidR="00E82CE1" w14:paraId="1C2FBF4C" w14:textId="77777777" w:rsidTr="005E1857">
        <w:tc>
          <w:tcPr>
            <w:tcW w:w="4436" w:type="dxa"/>
          </w:tcPr>
          <w:p w14:paraId="65E3FA3F" w14:textId="77777777" w:rsidR="00E82CE1" w:rsidRPr="00FB0256" w:rsidRDefault="00E82CE1" w:rsidP="005E1857">
            <w:r w:rsidRPr="00FB0256">
              <w:t>MS Source</w:t>
            </w:r>
          </w:p>
        </w:tc>
        <w:tc>
          <w:tcPr>
            <w:tcW w:w="4420" w:type="dxa"/>
          </w:tcPr>
          <w:p w14:paraId="7604409D" w14:textId="77777777" w:rsidR="00E82CE1" w:rsidRPr="00FB0256" w:rsidRDefault="00E82CE1" w:rsidP="005E1857">
            <w:r w:rsidRPr="00FB0256">
              <w:t>230ºC</w:t>
            </w:r>
          </w:p>
        </w:tc>
      </w:tr>
      <w:tr w:rsidR="00E82CE1" w14:paraId="5AB7FC30" w14:textId="77777777" w:rsidTr="005E1857">
        <w:tc>
          <w:tcPr>
            <w:tcW w:w="4436" w:type="dxa"/>
          </w:tcPr>
          <w:p w14:paraId="6ECA8E9D" w14:textId="77777777" w:rsidR="00E82CE1" w:rsidRPr="00FB0256" w:rsidRDefault="00E82CE1" w:rsidP="005E1857">
            <w:r w:rsidRPr="00FB0256">
              <w:t>MS Quad</w:t>
            </w:r>
          </w:p>
        </w:tc>
        <w:tc>
          <w:tcPr>
            <w:tcW w:w="4420" w:type="dxa"/>
          </w:tcPr>
          <w:p w14:paraId="6BCE0C3A" w14:textId="77777777" w:rsidR="00E82CE1" w:rsidRPr="00FB0256" w:rsidRDefault="00E82CE1" w:rsidP="005E1857">
            <w:r w:rsidRPr="00FB0256">
              <w:t>150ºC</w:t>
            </w:r>
          </w:p>
        </w:tc>
      </w:tr>
      <w:tr w:rsidR="00E82CE1" w14:paraId="1D2529A1" w14:textId="77777777" w:rsidTr="005E1857">
        <w:tc>
          <w:tcPr>
            <w:tcW w:w="4436" w:type="dxa"/>
          </w:tcPr>
          <w:p w14:paraId="5F52A5A9" w14:textId="77777777" w:rsidR="00E82CE1" w:rsidRPr="00FB0256" w:rsidRDefault="00E82CE1" w:rsidP="005E1857">
            <w:r w:rsidRPr="00FB0256">
              <w:t>Solvent Delay</w:t>
            </w:r>
          </w:p>
        </w:tc>
        <w:tc>
          <w:tcPr>
            <w:tcW w:w="4420" w:type="dxa"/>
          </w:tcPr>
          <w:p w14:paraId="00AA37A3" w14:textId="77777777" w:rsidR="00E82CE1" w:rsidRPr="00FB0256" w:rsidRDefault="00E82CE1" w:rsidP="005E1857">
            <w:r w:rsidRPr="00FB0256">
              <w:t>5min</w:t>
            </w:r>
          </w:p>
        </w:tc>
      </w:tr>
    </w:tbl>
    <w:p w14:paraId="35BACEEC" w14:textId="0AE898F1" w:rsidR="00E82CE1" w:rsidRDefault="00E82CE1" w:rsidP="00E82CE1">
      <w:pPr>
        <w:ind w:left="720"/>
      </w:pPr>
      <w:r>
        <w:br/>
        <w:t xml:space="preserve">Using these parameters, a standard solution of </w:t>
      </w:r>
      <w:proofErr w:type="spellStart"/>
      <w:r>
        <w:t>prallethrin</w:t>
      </w:r>
      <w:proofErr w:type="spellEnd"/>
      <w:r>
        <w:t xml:space="preserve"> was prepared at 1mg/mL as well as a sample solution containing 1mg/mL </w:t>
      </w:r>
      <w:proofErr w:type="spellStart"/>
      <w:r>
        <w:t>prallethrin</w:t>
      </w:r>
      <w:proofErr w:type="spellEnd"/>
      <w:r>
        <w:t xml:space="preserve"> using acetone as the diluent. A blank formulation was also analyzed using the same sample weight as was used to make the sample solution containing </w:t>
      </w:r>
      <w:proofErr w:type="spellStart"/>
      <w:r>
        <w:t>prallethrin</w:t>
      </w:r>
      <w:proofErr w:type="spellEnd"/>
      <w:r>
        <w:t xml:space="preserve">. </w:t>
      </w:r>
    </w:p>
    <w:p w14:paraId="5AA0F303" w14:textId="78321D7E" w:rsidR="00E82CE1" w:rsidRDefault="00E82CE1" w:rsidP="00E82CE1">
      <w:pPr>
        <w:ind w:left="720"/>
      </w:pPr>
      <w:r>
        <w:lastRenderedPageBreak/>
        <w:t xml:space="preserve">Prallethrin was identified in the standard solution with a clear peak which matched the NIST library search for </w:t>
      </w:r>
      <w:proofErr w:type="spellStart"/>
      <w:r>
        <w:t>prallethrin</w:t>
      </w:r>
      <w:proofErr w:type="spellEnd"/>
      <w:r>
        <w:t xml:space="preserve">, containing the major ion fragment of 123 AMU. </w:t>
      </w:r>
    </w:p>
    <w:p w14:paraId="6B978FF5" w14:textId="7282D57F" w:rsidR="00E82CE1" w:rsidRDefault="00E82CE1" w:rsidP="00E82CE1">
      <w:pPr>
        <w:ind w:left="720"/>
      </w:pPr>
      <w:r>
        <w:t xml:space="preserve">The </w:t>
      </w:r>
      <w:proofErr w:type="spellStart"/>
      <w:r>
        <w:t>prallethrin</w:t>
      </w:r>
      <w:proofErr w:type="spellEnd"/>
      <w:r>
        <w:t xml:space="preserve"> peak identified in the sample solution was clearly visible and resolved from all other peaks in the sample solution, as well as missing from the blank formulation. The </w:t>
      </w:r>
      <w:proofErr w:type="spellStart"/>
      <w:r>
        <w:t>prallethrin</w:t>
      </w:r>
      <w:proofErr w:type="spellEnd"/>
      <w:r>
        <w:t xml:space="preserve"> peak in the sample solution also matched the NIST library search for </w:t>
      </w:r>
      <w:proofErr w:type="spellStart"/>
      <w:r>
        <w:t>prallethrin</w:t>
      </w:r>
      <w:proofErr w:type="spellEnd"/>
      <w:r>
        <w:t xml:space="preserve"> and had a major ion fragment of 123 AMU.</w:t>
      </w:r>
    </w:p>
    <w:p w14:paraId="30B62AA0" w14:textId="3A7842C8" w:rsidR="0055065B" w:rsidRDefault="00E82CE1" w:rsidP="00E82CE1">
      <w:pPr>
        <w:pStyle w:val="ListParagraph"/>
      </w:pPr>
      <w:r>
        <w:t>This analysis supports the identification of Prallethrin in the Clarke UL formulation</w:t>
      </w:r>
      <w:r>
        <w:br/>
      </w:r>
    </w:p>
    <w:p w14:paraId="68662761" w14:textId="77777777" w:rsidR="00FE5CE5" w:rsidRPr="0055065B" w:rsidRDefault="00FE5CE5" w:rsidP="00E82CE1">
      <w:pPr>
        <w:pStyle w:val="ListParagraph"/>
      </w:pPr>
      <w:bookmarkStart w:id="0" w:name="_GoBack"/>
      <w:bookmarkEnd w:id="0"/>
    </w:p>
    <w:p w14:paraId="53AA3A46" w14:textId="2D7C38BE" w:rsidR="00736E4D" w:rsidRDefault="00DD5157" w:rsidP="00DD5157">
      <w:pPr>
        <w:pStyle w:val="ListParagraph"/>
        <w:numPr>
          <w:ilvl w:val="0"/>
          <w:numId w:val="2"/>
        </w:numPr>
      </w:pPr>
      <w:r>
        <w:rPr>
          <w:b/>
        </w:rPr>
        <w:t>Conclusion</w:t>
      </w:r>
      <w:r w:rsidR="00044868">
        <w:br/>
      </w:r>
      <w:r w:rsidR="00044868">
        <w:br/>
        <w:t>In order to apply the CIPAC 74</w:t>
      </w:r>
      <w:r w:rsidR="00CC111A">
        <w:t>3</w:t>
      </w:r>
      <w:r w:rsidR="00044868">
        <w:t>/</w:t>
      </w:r>
      <w:r w:rsidR="00CC111A">
        <w:t>LV</w:t>
      </w:r>
      <w:r w:rsidR="00044868">
        <w:t xml:space="preserve">/M/- to UL formulations containing prallethrin, the method required </w:t>
      </w:r>
      <w:r w:rsidR="005F1B41">
        <w:t>a change in inlet and detection temperature</w:t>
      </w:r>
      <w:r w:rsidR="004A6003">
        <w:t xml:space="preserve">. In addition, it is important to check whether there are matrix effects affecting the response of the </w:t>
      </w:r>
      <w:proofErr w:type="spellStart"/>
      <w:r w:rsidR="004A6003">
        <w:t>prallethrin</w:t>
      </w:r>
      <w:proofErr w:type="spellEnd"/>
      <w:r w:rsidR="004A6003">
        <w:t xml:space="preserve"> analyte. Where there is evidence of matrix effects, then the method of standard addition can be used as the procedure for quantification. This analytical technique is a recognized procedure for dealing with matrix effects and is considered to be a minor modification.</w:t>
      </w:r>
      <w:r w:rsidR="00736E4D">
        <w:br/>
      </w:r>
      <w:r w:rsidR="00736E4D">
        <w:br/>
        <w:t>The data shown demonstrates that the method is linear,</w:t>
      </w:r>
      <w:r w:rsidR="00730701">
        <w:t xml:space="preserve"> specific, and has acceptable precision (repeatability, r). </w:t>
      </w:r>
      <w:r w:rsidR="005F1B41">
        <w:t xml:space="preserve">The identification of </w:t>
      </w:r>
      <w:proofErr w:type="spellStart"/>
      <w:r w:rsidR="005F1B41">
        <w:t>prallethrin</w:t>
      </w:r>
      <w:proofErr w:type="spellEnd"/>
      <w:r w:rsidR="005F1B41">
        <w:t xml:space="preserve"> in the formulation using GC/MS was also confirmed. </w:t>
      </w:r>
      <w:r w:rsidR="00736E4D">
        <w:t>Therefore, the modified method is considered appropriate for the determination of</w:t>
      </w:r>
      <w:r w:rsidR="00F1452F">
        <w:t xml:space="preserve"> total</w:t>
      </w:r>
      <w:r w:rsidR="00736E4D">
        <w:t xml:space="preserve"> prallethrin in a UL formulation and the extension of CIPAC 74</w:t>
      </w:r>
      <w:r w:rsidR="00CC111A">
        <w:t>3</w:t>
      </w:r>
      <w:r w:rsidR="00736E4D">
        <w:t>/</w:t>
      </w:r>
      <w:r w:rsidR="00CC111A">
        <w:t>LV</w:t>
      </w:r>
      <w:r w:rsidR="00736E4D">
        <w:t xml:space="preserve">/M/- to UL formulations </w:t>
      </w:r>
      <w:r w:rsidR="00730701">
        <w:t xml:space="preserve">is </w:t>
      </w:r>
      <w:r w:rsidR="00444CCD">
        <w:t>proposed by Clarke.</w:t>
      </w:r>
    </w:p>
    <w:p w14:paraId="072837B0" w14:textId="77777777" w:rsidR="00BB718C" w:rsidRDefault="00BB718C">
      <w:pPr>
        <w:rPr>
          <w:b/>
        </w:rPr>
      </w:pPr>
      <w:r>
        <w:rPr>
          <w:b/>
        </w:rPr>
        <w:br w:type="page"/>
      </w:r>
    </w:p>
    <w:p w14:paraId="328DB3E8" w14:textId="54421B90" w:rsidR="00736E4D" w:rsidRDefault="00736E4D" w:rsidP="00736E4D">
      <w:r>
        <w:rPr>
          <w:b/>
        </w:rPr>
        <w:lastRenderedPageBreak/>
        <w:t>Figure 1. Diluent Injection</w:t>
      </w:r>
      <w:r w:rsidR="005E31A5">
        <w:rPr>
          <w:b/>
        </w:rPr>
        <w:t xml:space="preserve"> – GC Analysis</w:t>
      </w:r>
      <w:r>
        <w:rPr>
          <w:b/>
        </w:rPr>
        <w:br/>
      </w:r>
      <w:r w:rsidR="005E31A5">
        <w:rPr>
          <w:noProof/>
        </w:rPr>
        <w:drawing>
          <wp:inline distT="0" distB="0" distL="0" distR="0" wp14:anchorId="5D32AF39" wp14:editId="4A7DC7D9">
            <wp:extent cx="5943600" cy="4841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llethrin Diluent GC.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841240"/>
                    </a:xfrm>
                    <a:prstGeom prst="rect">
                      <a:avLst/>
                    </a:prstGeom>
                  </pic:spPr>
                </pic:pic>
              </a:graphicData>
            </a:graphic>
          </wp:inline>
        </w:drawing>
      </w:r>
      <w:r>
        <w:br/>
      </w:r>
    </w:p>
    <w:p w14:paraId="013B9983" w14:textId="1F0CBD5B" w:rsidR="00736E4D" w:rsidRDefault="00736E4D" w:rsidP="00736E4D">
      <w:pPr>
        <w:rPr>
          <w:b/>
        </w:rPr>
      </w:pPr>
      <w:r>
        <w:rPr>
          <w:b/>
        </w:rPr>
        <w:lastRenderedPageBreak/>
        <w:t>Figure 2. Calibration Solution Injection</w:t>
      </w:r>
      <w:r w:rsidR="005E31A5">
        <w:rPr>
          <w:b/>
        </w:rPr>
        <w:t xml:space="preserve"> – GC Analysis</w:t>
      </w:r>
      <w:r>
        <w:rPr>
          <w:b/>
        </w:rPr>
        <w:br/>
      </w:r>
      <w:r w:rsidR="005E31A5">
        <w:rPr>
          <w:b/>
          <w:noProof/>
        </w:rPr>
        <w:drawing>
          <wp:inline distT="0" distB="0" distL="0" distR="0" wp14:anchorId="0864434B" wp14:editId="34A770F5">
            <wp:extent cx="5943600" cy="48361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llethrin Calibration Solution GC.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4836160"/>
                    </a:xfrm>
                    <a:prstGeom prst="rect">
                      <a:avLst/>
                    </a:prstGeom>
                  </pic:spPr>
                </pic:pic>
              </a:graphicData>
            </a:graphic>
          </wp:inline>
        </w:drawing>
      </w:r>
    </w:p>
    <w:p w14:paraId="667CDBFA" w14:textId="77777777" w:rsidR="00736E4D" w:rsidRDefault="00736E4D" w:rsidP="00736E4D">
      <w:pPr>
        <w:rPr>
          <w:b/>
        </w:rPr>
      </w:pPr>
    </w:p>
    <w:p w14:paraId="5F0FF829" w14:textId="77777777" w:rsidR="00736E4D" w:rsidRDefault="00736E4D" w:rsidP="00736E4D">
      <w:pPr>
        <w:rPr>
          <w:b/>
        </w:rPr>
      </w:pPr>
    </w:p>
    <w:p w14:paraId="02B0293F" w14:textId="77777777" w:rsidR="00736E4D" w:rsidRDefault="00736E4D" w:rsidP="00736E4D">
      <w:pPr>
        <w:rPr>
          <w:b/>
        </w:rPr>
      </w:pPr>
    </w:p>
    <w:p w14:paraId="3B2AFC07" w14:textId="77777777" w:rsidR="00736E4D" w:rsidRDefault="00736E4D" w:rsidP="00736E4D">
      <w:pPr>
        <w:rPr>
          <w:b/>
        </w:rPr>
      </w:pPr>
    </w:p>
    <w:p w14:paraId="7B135D7A" w14:textId="77777777" w:rsidR="00736E4D" w:rsidRDefault="00736E4D" w:rsidP="00736E4D">
      <w:pPr>
        <w:rPr>
          <w:b/>
        </w:rPr>
      </w:pPr>
    </w:p>
    <w:p w14:paraId="30F6065C" w14:textId="77777777" w:rsidR="00736E4D" w:rsidRDefault="00736E4D" w:rsidP="00736E4D">
      <w:pPr>
        <w:rPr>
          <w:b/>
        </w:rPr>
      </w:pPr>
    </w:p>
    <w:p w14:paraId="20B4B706" w14:textId="6336715E" w:rsidR="00736E4D" w:rsidRDefault="00736E4D" w:rsidP="00736E4D">
      <w:pPr>
        <w:rPr>
          <w:b/>
        </w:rPr>
      </w:pPr>
      <w:r>
        <w:rPr>
          <w:b/>
        </w:rPr>
        <w:lastRenderedPageBreak/>
        <w:t>Figure 3. Blank Injection</w:t>
      </w:r>
      <w:r w:rsidR="005E31A5">
        <w:rPr>
          <w:b/>
        </w:rPr>
        <w:t xml:space="preserve"> – GC Analysis</w:t>
      </w:r>
      <w:r>
        <w:rPr>
          <w:b/>
        </w:rPr>
        <w:br/>
      </w:r>
      <w:r w:rsidR="005E31A5">
        <w:rPr>
          <w:b/>
          <w:noProof/>
        </w:rPr>
        <w:drawing>
          <wp:inline distT="0" distB="0" distL="0" distR="0" wp14:anchorId="3AA80D79" wp14:editId="6F36C126">
            <wp:extent cx="5943600" cy="48361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llethrin Blank GC.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4836160"/>
                    </a:xfrm>
                    <a:prstGeom prst="rect">
                      <a:avLst/>
                    </a:prstGeom>
                  </pic:spPr>
                </pic:pic>
              </a:graphicData>
            </a:graphic>
          </wp:inline>
        </w:drawing>
      </w:r>
    </w:p>
    <w:p w14:paraId="4FDE225E" w14:textId="77777777" w:rsidR="00736E4D" w:rsidRDefault="00736E4D" w:rsidP="00736E4D">
      <w:pPr>
        <w:rPr>
          <w:b/>
        </w:rPr>
      </w:pPr>
    </w:p>
    <w:p w14:paraId="17D94B0A" w14:textId="77777777" w:rsidR="00736E4D" w:rsidRDefault="00736E4D" w:rsidP="00736E4D">
      <w:pPr>
        <w:rPr>
          <w:b/>
        </w:rPr>
      </w:pPr>
    </w:p>
    <w:p w14:paraId="06207EC6" w14:textId="77777777" w:rsidR="00736E4D" w:rsidRDefault="00736E4D" w:rsidP="00736E4D">
      <w:pPr>
        <w:rPr>
          <w:b/>
        </w:rPr>
      </w:pPr>
    </w:p>
    <w:p w14:paraId="27AC37FD" w14:textId="77777777" w:rsidR="00736E4D" w:rsidRDefault="00736E4D" w:rsidP="00736E4D">
      <w:pPr>
        <w:rPr>
          <w:b/>
        </w:rPr>
      </w:pPr>
    </w:p>
    <w:p w14:paraId="14ECB862" w14:textId="77777777" w:rsidR="00736E4D" w:rsidRDefault="00736E4D" w:rsidP="00736E4D">
      <w:pPr>
        <w:rPr>
          <w:b/>
        </w:rPr>
      </w:pPr>
    </w:p>
    <w:p w14:paraId="586A486A" w14:textId="77777777" w:rsidR="00736E4D" w:rsidRDefault="00736E4D" w:rsidP="00736E4D">
      <w:pPr>
        <w:rPr>
          <w:b/>
        </w:rPr>
      </w:pPr>
    </w:p>
    <w:p w14:paraId="0068E8EC" w14:textId="77777777" w:rsidR="00736E4D" w:rsidRDefault="00736E4D" w:rsidP="00736E4D">
      <w:pPr>
        <w:rPr>
          <w:b/>
        </w:rPr>
      </w:pPr>
    </w:p>
    <w:p w14:paraId="53BC541D" w14:textId="77777777" w:rsidR="00736E4D" w:rsidRDefault="00736E4D" w:rsidP="00736E4D">
      <w:pPr>
        <w:rPr>
          <w:b/>
        </w:rPr>
      </w:pPr>
    </w:p>
    <w:p w14:paraId="4FF1C31C" w14:textId="77777777" w:rsidR="00736E4D" w:rsidRDefault="00736E4D" w:rsidP="00736E4D">
      <w:pPr>
        <w:rPr>
          <w:b/>
        </w:rPr>
      </w:pPr>
    </w:p>
    <w:p w14:paraId="08D6F3A6" w14:textId="27954330" w:rsidR="00736E4D" w:rsidRDefault="005E31A5" w:rsidP="00736E4D">
      <w:pPr>
        <w:rPr>
          <w:b/>
        </w:rPr>
      </w:pPr>
      <w:r>
        <w:rPr>
          <w:b/>
        </w:rPr>
        <w:lastRenderedPageBreak/>
        <w:t>Figure 4. Standard Addition Standard 1 Injection – GC Analysis</w:t>
      </w:r>
      <w:r w:rsidR="00736E4D">
        <w:rPr>
          <w:b/>
        </w:rPr>
        <w:br/>
      </w:r>
      <w:r>
        <w:rPr>
          <w:b/>
          <w:noProof/>
        </w:rPr>
        <w:drawing>
          <wp:inline distT="0" distB="0" distL="0" distR="0" wp14:anchorId="243F5371" wp14:editId="57B096D7">
            <wp:extent cx="5943600" cy="48361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llethrin Standard 1GC.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4836160"/>
                    </a:xfrm>
                    <a:prstGeom prst="rect">
                      <a:avLst/>
                    </a:prstGeom>
                  </pic:spPr>
                </pic:pic>
              </a:graphicData>
            </a:graphic>
          </wp:inline>
        </w:drawing>
      </w:r>
    </w:p>
    <w:p w14:paraId="46720918" w14:textId="77777777" w:rsidR="00444CCD" w:rsidRDefault="00444CCD" w:rsidP="00736E4D">
      <w:pPr>
        <w:rPr>
          <w:b/>
        </w:rPr>
      </w:pPr>
    </w:p>
    <w:p w14:paraId="1FD3A940" w14:textId="77777777" w:rsidR="00444CCD" w:rsidRDefault="00444CCD" w:rsidP="00736E4D">
      <w:pPr>
        <w:rPr>
          <w:b/>
        </w:rPr>
      </w:pPr>
    </w:p>
    <w:p w14:paraId="1610B353" w14:textId="77777777" w:rsidR="00444CCD" w:rsidRDefault="00444CCD" w:rsidP="00736E4D">
      <w:pPr>
        <w:rPr>
          <w:b/>
        </w:rPr>
      </w:pPr>
    </w:p>
    <w:p w14:paraId="19BC3E0A" w14:textId="77777777" w:rsidR="00444CCD" w:rsidRDefault="00444CCD" w:rsidP="00736E4D">
      <w:pPr>
        <w:rPr>
          <w:b/>
        </w:rPr>
      </w:pPr>
    </w:p>
    <w:p w14:paraId="65A4B2AA" w14:textId="77777777" w:rsidR="00444CCD" w:rsidRDefault="00444CCD" w:rsidP="00736E4D">
      <w:pPr>
        <w:rPr>
          <w:b/>
        </w:rPr>
      </w:pPr>
    </w:p>
    <w:p w14:paraId="7A6703F6" w14:textId="77777777" w:rsidR="00444CCD" w:rsidRDefault="00444CCD" w:rsidP="00736E4D">
      <w:pPr>
        <w:rPr>
          <w:b/>
        </w:rPr>
      </w:pPr>
    </w:p>
    <w:p w14:paraId="5D0FFD42" w14:textId="77777777" w:rsidR="00444CCD" w:rsidRDefault="00444CCD" w:rsidP="00736E4D">
      <w:pPr>
        <w:rPr>
          <w:b/>
        </w:rPr>
      </w:pPr>
    </w:p>
    <w:p w14:paraId="4973C7C9" w14:textId="77777777" w:rsidR="00444CCD" w:rsidRDefault="00444CCD" w:rsidP="00736E4D">
      <w:pPr>
        <w:rPr>
          <w:b/>
        </w:rPr>
      </w:pPr>
    </w:p>
    <w:p w14:paraId="77BFD3DC" w14:textId="77777777" w:rsidR="00444CCD" w:rsidRDefault="00444CCD" w:rsidP="00736E4D">
      <w:pPr>
        <w:rPr>
          <w:b/>
        </w:rPr>
      </w:pPr>
    </w:p>
    <w:p w14:paraId="152F9EFA" w14:textId="60ACE736" w:rsidR="00444CCD" w:rsidRDefault="00444CCD" w:rsidP="00736E4D">
      <w:pPr>
        <w:rPr>
          <w:b/>
        </w:rPr>
      </w:pPr>
      <w:r>
        <w:rPr>
          <w:b/>
        </w:rPr>
        <w:lastRenderedPageBreak/>
        <w:t xml:space="preserve">Figure 5. </w:t>
      </w:r>
      <w:r w:rsidR="005E31A5">
        <w:rPr>
          <w:b/>
        </w:rPr>
        <w:t>Sample Injection – GC Analysis</w:t>
      </w:r>
      <w:r>
        <w:rPr>
          <w:b/>
        </w:rPr>
        <w:br/>
      </w:r>
      <w:r w:rsidR="005E31A5">
        <w:rPr>
          <w:b/>
          <w:noProof/>
        </w:rPr>
        <w:drawing>
          <wp:inline distT="0" distB="0" distL="0" distR="0" wp14:anchorId="642EE2D3" wp14:editId="7AC5FAA7">
            <wp:extent cx="5943600" cy="48412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llethrin Formulation GC.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4841240"/>
                    </a:xfrm>
                    <a:prstGeom prst="rect">
                      <a:avLst/>
                    </a:prstGeom>
                  </pic:spPr>
                </pic:pic>
              </a:graphicData>
            </a:graphic>
          </wp:inline>
        </w:drawing>
      </w:r>
    </w:p>
    <w:p w14:paraId="784CE0CA" w14:textId="77777777" w:rsidR="00444CCD" w:rsidRDefault="00444CCD" w:rsidP="00736E4D">
      <w:pPr>
        <w:rPr>
          <w:b/>
        </w:rPr>
      </w:pPr>
    </w:p>
    <w:p w14:paraId="3858AC54" w14:textId="77777777" w:rsidR="00444CCD" w:rsidRDefault="00444CCD" w:rsidP="00736E4D">
      <w:pPr>
        <w:rPr>
          <w:b/>
        </w:rPr>
      </w:pPr>
    </w:p>
    <w:p w14:paraId="3CD7F19A" w14:textId="77777777" w:rsidR="00444CCD" w:rsidRDefault="00444CCD" w:rsidP="00736E4D">
      <w:pPr>
        <w:rPr>
          <w:b/>
        </w:rPr>
      </w:pPr>
    </w:p>
    <w:p w14:paraId="435C67AE" w14:textId="77777777" w:rsidR="00444CCD" w:rsidRDefault="00444CCD" w:rsidP="00736E4D">
      <w:pPr>
        <w:rPr>
          <w:b/>
        </w:rPr>
      </w:pPr>
    </w:p>
    <w:p w14:paraId="4B0243AB" w14:textId="77777777" w:rsidR="00444CCD" w:rsidRDefault="00444CCD" w:rsidP="00736E4D">
      <w:pPr>
        <w:rPr>
          <w:b/>
        </w:rPr>
      </w:pPr>
    </w:p>
    <w:p w14:paraId="30EADF93" w14:textId="77777777" w:rsidR="00444CCD" w:rsidRDefault="00444CCD" w:rsidP="00736E4D">
      <w:pPr>
        <w:rPr>
          <w:b/>
        </w:rPr>
      </w:pPr>
    </w:p>
    <w:p w14:paraId="3D8FC5D2" w14:textId="77777777" w:rsidR="00444CCD" w:rsidRDefault="00444CCD" w:rsidP="00736E4D">
      <w:pPr>
        <w:rPr>
          <w:b/>
        </w:rPr>
      </w:pPr>
    </w:p>
    <w:p w14:paraId="4FA4E4B3" w14:textId="77777777" w:rsidR="00444CCD" w:rsidRDefault="00444CCD" w:rsidP="00736E4D">
      <w:pPr>
        <w:rPr>
          <w:b/>
        </w:rPr>
      </w:pPr>
    </w:p>
    <w:p w14:paraId="3B4D0781" w14:textId="77777777" w:rsidR="00444CCD" w:rsidRDefault="00444CCD" w:rsidP="00736E4D">
      <w:pPr>
        <w:rPr>
          <w:b/>
        </w:rPr>
      </w:pPr>
    </w:p>
    <w:p w14:paraId="1525AE64" w14:textId="47B40F90" w:rsidR="00444CCD" w:rsidRDefault="00444CCD" w:rsidP="00736E4D">
      <w:pPr>
        <w:rPr>
          <w:b/>
        </w:rPr>
      </w:pPr>
      <w:r>
        <w:rPr>
          <w:b/>
        </w:rPr>
        <w:lastRenderedPageBreak/>
        <w:t xml:space="preserve">Figure 6. </w:t>
      </w:r>
      <w:r w:rsidR="005E31A5">
        <w:rPr>
          <w:b/>
        </w:rPr>
        <w:t>Blank Formulation Injection – GC/MS – Identity Test</w:t>
      </w:r>
      <w:r>
        <w:rPr>
          <w:b/>
        </w:rPr>
        <w:br/>
      </w:r>
      <w:r w:rsidR="005E31A5">
        <w:rPr>
          <w:b/>
          <w:noProof/>
        </w:rPr>
        <w:drawing>
          <wp:inline distT="0" distB="0" distL="0" distR="0" wp14:anchorId="61C5F156" wp14:editId="7BEE77E0">
            <wp:extent cx="5943600" cy="48621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 GCMS.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4862195"/>
                    </a:xfrm>
                    <a:prstGeom prst="rect">
                      <a:avLst/>
                    </a:prstGeom>
                  </pic:spPr>
                </pic:pic>
              </a:graphicData>
            </a:graphic>
          </wp:inline>
        </w:drawing>
      </w:r>
    </w:p>
    <w:p w14:paraId="0679C52A" w14:textId="0898740C" w:rsidR="005E31A5" w:rsidRDefault="005E31A5" w:rsidP="00736E4D">
      <w:pPr>
        <w:rPr>
          <w:b/>
        </w:rPr>
      </w:pPr>
      <w:r>
        <w:rPr>
          <w:b/>
        </w:rPr>
        <w:lastRenderedPageBreak/>
        <w:t>Figure 7. Prallethrin Standard Solution Injection – GC/MS – Identity Test</w:t>
      </w:r>
      <w:r>
        <w:rPr>
          <w:b/>
        </w:rPr>
        <w:br/>
      </w:r>
      <w:r>
        <w:rPr>
          <w:b/>
          <w:noProof/>
        </w:rPr>
        <w:drawing>
          <wp:inline distT="0" distB="0" distL="0" distR="0" wp14:anchorId="5BA89932" wp14:editId="0DCD716D">
            <wp:extent cx="5943600" cy="49009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llethrin GCMS.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4900930"/>
                    </a:xfrm>
                    <a:prstGeom prst="rect">
                      <a:avLst/>
                    </a:prstGeom>
                  </pic:spPr>
                </pic:pic>
              </a:graphicData>
            </a:graphic>
          </wp:inline>
        </w:drawing>
      </w:r>
    </w:p>
    <w:p w14:paraId="1CD40D6B" w14:textId="07CE174D" w:rsidR="005E31A5" w:rsidRPr="00444CCD" w:rsidRDefault="005E31A5" w:rsidP="00736E4D">
      <w:pPr>
        <w:rPr>
          <w:b/>
        </w:rPr>
      </w:pPr>
      <w:r>
        <w:rPr>
          <w:b/>
        </w:rPr>
        <w:lastRenderedPageBreak/>
        <w:t>Figure 8. Prallethrin Formulation Solution Injection – GC/MS – Identity Test</w:t>
      </w:r>
      <w:r>
        <w:rPr>
          <w:b/>
        </w:rPr>
        <w:br/>
      </w:r>
      <w:r>
        <w:rPr>
          <w:b/>
          <w:noProof/>
        </w:rPr>
        <w:drawing>
          <wp:inline distT="0" distB="0" distL="0" distR="0" wp14:anchorId="0860A26B" wp14:editId="3898B8D1">
            <wp:extent cx="5943600" cy="49085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llethrin Formulation GCMS.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4908550"/>
                    </a:xfrm>
                    <a:prstGeom prst="rect">
                      <a:avLst/>
                    </a:prstGeom>
                  </pic:spPr>
                </pic:pic>
              </a:graphicData>
            </a:graphic>
          </wp:inline>
        </w:drawing>
      </w:r>
    </w:p>
    <w:sectPr w:rsidR="005E31A5" w:rsidRPr="00444CCD">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05211" w14:textId="77777777" w:rsidR="00977F2A" w:rsidRDefault="00977F2A" w:rsidP="001B7286">
      <w:pPr>
        <w:spacing w:after="0" w:line="240" w:lineRule="auto"/>
      </w:pPr>
      <w:r>
        <w:separator/>
      </w:r>
    </w:p>
  </w:endnote>
  <w:endnote w:type="continuationSeparator" w:id="0">
    <w:p w14:paraId="2CEA7ED2" w14:textId="77777777" w:rsidR="00977F2A" w:rsidRDefault="00977F2A" w:rsidP="001B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75943432"/>
      <w:docPartObj>
        <w:docPartGallery w:val="Page Numbers (Bottom of Page)"/>
        <w:docPartUnique/>
      </w:docPartObj>
    </w:sdtPr>
    <w:sdtContent>
      <w:p w14:paraId="3D1D38C2" w14:textId="076B5733" w:rsidR="00BB718C" w:rsidRDefault="00BB718C" w:rsidP="00F52B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4B829A" w14:textId="77777777" w:rsidR="00BB718C" w:rsidRDefault="00BB7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0141272"/>
      <w:docPartObj>
        <w:docPartGallery w:val="Page Numbers (Bottom of Page)"/>
        <w:docPartUnique/>
      </w:docPartObj>
    </w:sdtPr>
    <w:sdtContent>
      <w:p w14:paraId="5CD41CF7" w14:textId="6CECBF66" w:rsidR="00BB718C" w:rsidRDefault="00BB718C" w:rsidP="00F52B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C8E5C7" w14:textId="77777777" w:rsidR="00BB718C" w:rsidRDefault="00BB7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94C0F" w14:textId="77777777" w:rsidR="00977F2A" w:rsidRDefault="00977F2A" w:rsidP="001B7286">
      <w:pPr>
        <w:spacing w:after="0" w:line="240" w:lineRule="auto"/>
      </w:pPr>
      <w:r>
        <w:separator/>
      </w:r>
    </w:p>
  </w:footnote>
  <w:footnote w:type="continuationSeparator" w:id="0">
    <w:p w14:paraId="30D58347" w14:textId="77777777" w:rsidR="00977F2A" w:rsidRDefault="00977F2A" w:rsidP="001B7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677B5" w14:textId="4B6FCCEF" w:rsidR="001B7286" w:rsidRDefault="001B7286" w:rsidP="001B7286">
    <w:pPr>
      <w:pStyle w:val="Header"/>
      <w:jc w:val="right"/>
    </w:pPr>
    <w:r>
      <w:t>CIPAC/</w:t>
    </w:r>
    <w:r w:rsidR="009C0A26">
      <w:t>5164</w:t>
    </w:r>
    <w:r>
      <w:t>/R Prallethrin (June 201</w:t>
    </w:r>
    <w:r w:rsidR="0060400C">
      <w:t>8</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5769E"/>
    <w:multiLevelType w:val="hybridMultilevel"/>
    <w:tmpl w:val="929AB40E"/>
    <w:lvl w:ilvl="0" w:tplc="3C18B2F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CC97651"/>
    <w:multiLevelType w:val="hybridMultilevel"/>
    <w:tmpl w:val="626EA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37F08"/>
    <w:multiLevelType w:val="hybridMultilevel"/>
    <w:tmpl w:val="71CC1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04356"/>
    <w:multiLevelType w:val="hybridMultilevel"/>
    <w:tmpl w:val="0778E3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AFA4DAF"/>
    <w:multiLevelType w:val="hybridMultilevel"/>
    <w:tmpl w:val="C9AC3E7C"/>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5977947"/>
    <w:multiLevelType w:val="hybridMultilevel"/>
    <w:tmpl w:val="46188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0E2D59"/>
    <w:multiLevelType w:val="hybridMultilevel"/>
    <w:tmpl w:val="47A852D2"/>
    <w:lvl w:ilvl="0" w:tplc="DCA8DB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286"/>
    <w:rsid w:val="000230FB"/>
    <w:rsid w:val="00044044"/>
    <w:rsid w:val="00044868"/>
    <w:rsid w:val="000A45DA"/>
    <w:rsid w:val="00122380"/>
    <w:rsid w:val="001833DD"/>
    <w:rsid w:val="0019625A"/>
    <w:rsid w:val="001B7286"/>
    <w:rsid w:val="001B7E6F"/>
    <w:rsid w:val="001C4FD2"/>
    <w:rsid w:val="00203402"/>
    <w:rsid w:val="00227514"/>
    <w:rsid w:val="00293582"/>
    <w:rsid w:val="002C78A0"/>
    <w:rsid w:val="0031694D"/>
    <w:rsid w:val="00395EC6"/>
    <w:rsid w:val="003A2669"/>
    <w:rsid w:val="003B540E"/>
    <w:rsid w:val="00410CF9"/>
    <w:rsid w:val="00444CCD"/>
    <w:rsid w:val="00482396"/>
    <w:rsid w:val="004A6003"/>
    <w:rsid w:val="0055065B"/>
    <w:rsid w:val="00570BBA"/>
    <w:rsid w:val="00582164"/>
    <w:rsid w:val="00590DCA"/>
    <w:rsid w:val="005E31A5"/>
    <w:rsid w:val="005F1B41"/>
    <w:rsid w:val="0060400C"/>
    <w:rsid w:val="006D286B"/>
    <w:rsid w:val="00723246"/>
    <w:rsid w:val="0073017E"/>
    <w:rsid w:val="00730701"/>
    <w:rsid w:val="00736E4D"/>
    <w:rsid w:val="007C031E"/>
    <w:rsid w:val="00831057"/>
    <w:rsid w:val="00836B17"/>
    <w:rsid w:val="00837145"/>
    <w:rsid w:val="0088257F"/>
    <w:rsid w:val="008D5E79"/>
    <w:rsid w:val="00920316"/>
    <w:rsid w:val="00975113"/>
    <w:rsid w:val="00977F2A"/>
    <w:rsid w:val="00993A11"/>
    <w:rsid w:val="009C0A26"/>
    <w:rsid w:val="009F262E"/>
    <w:rsid w:val="00A1095D"/>
    <w:rsid w:val="00A1771B"/>
    <w:rsid w:val="00A24F65"/>
    <w:rsid w:val="00A81719"/>
    <w:rsid w:val="00B26349"/>
    <w:rsid w:val="00B7008A"/>
    <w:rsid w:val="00B7565D"/>
    <w:rsid w:val="00BA5D11"/>
    <w:rsid w:val="00BA7D07"/>
    <w:rsid w:val="00BB453F"/>
    <w:rsid w:val="00BB718C"/>
    <w:rsid w:val="00BF151B"/>
    <w:rsid w:val="00C474F2"/>
    <w:rsid w:val="00C477CA"/>
    <w:rsid w:val="00C85B02"/>
    <w:rsid w:val="00CC111A"/>
    <w:rsid w:val="00CC4AB6"/>
    <w:rsid w:val="00D641C0"/>
    <w:rsid w:val="00D814E8"/>
    <w:rsid w:val="00DD5157"/>
    <w:rsid w:val="00DF04BC"/>
    <w:rsid w:val="00E704FF"/>
    <w:rsid w:val="00E82CE1"/>
    <w:rsid w:val="00F06E0C"/>
    <w:rsid w:val="00F1452F"/>
    <w:rsid w:val="00F14F86"/>
    <w:rsid w:val="00FB7E69"/>
    <w:rsid w:val="00FE5CE5"/>
    <w:rsid w:val="00FF4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8F82"/>
  <w15:docId w15:val="{AB338ACA-02FF-BD4F-8A76-B4583F2B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286"/>
  </w:style>
  <w:style w:type="paragraph" w:styleId="Footer">
    <w:name w:val="footer"/>
    <w:basedOn w:val="Normal"/>
    <w:link w:val="FooterChar"/>
    <w:uiPriority w:val="99"/>
    <w:unhideWhenUsed/>
    <w:rsid w:val="001B7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286"/>
  </w:style>
  <w:style w:type="paragraph" w:styleId="ListParagraph">
    <w:name w:val="List Paragraph"/>
    <w:basedOn w:val="Normal"/>
    <w:uiPriority w:val="34"/>
    <w:qFormat/>
    <w:rsid w:val="001B7286"/>
    <w:pPr>
      <w:ind w:left="720"/>
      <w:contextualSpacing/>
    </w:pPr>
  </w:style>
  <w:style w:type="table" w:styleId="TableGrid">
    <w:name w:val="Table Grid"/>
    <w:basedOn w:val="TableNormal"/>
    <w:uiPriority w:val="59"/>
    <w:rsid w:val="001B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6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E4D"/>
    <w:rPr>
      <w:rFonts w:ascii="Tahoma" w:hAnsi="Tahoma" w:cs="Tahoma"/>
      <w:sz w:val="16"/>
      <w:szCs w:val="16"/>
    </w:rPr>
  </w:style>
  <w:style w:type="paragraph" w:styleId="Revision">
    <w:name w:val="Revision"/>
    <w:hidden/>
    <w:uiPriority w:val="99"/>
    <w:semiHidden/>
    <w:rsid w:val="0088257F"/>
    <w:pPr>
      <w:spacing w:after="0" w:line="240" w:lineRule="auto"/>
    </w:pPr>
  </w:style>
  <w:style w:type="character" w:styleId="PageNumber">
    <w:name w:val="page number"/>
    <w:basedOn w:val="DefaultParagraphFont"/>
    <w:uiPriority w:val="99"/>
    <w:semiHidden/>
    <w:unhideWhenUsed/>
    <w:rsid w:val="00BB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jp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king\Desktop\Projects\CIPAC%20Cielo\Second%20round%20of%20CIPAC%20Cielo\Cipac%20Prallethrin%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king\Desktop\Projects\CIPAC%20Cielo\Second%20round%20of%20CIPAC%20Cielo\Prallethrin%20Lineari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v>Prallethrin Linearity</c:v>
          </c:tx>
          <c:spPr>
            <a:ln w="28575">
              <a:noFill/>
            </a:ln>
          </c:spPr>
          <c:trendline>
            <c:trendlineType val="linear"/>
            <c:dispRSqr val="1"/>
            <c:dispEq val="1"/>
            <c:trendlineLbl>
              <c:layout>
                <c:manualLayout>
                  <c:x val="0.31369791104879013"/>
                  <c:y val="-2.6300548469691876E-2"/>
                </c:manualLayout>
              </c:layout>
              <c:numFmt formatCode="General" sourceLinked="0"/>
            </c:trendlineLbl>
          </c:trendline>
          <c:xVal>
            <c:numRef>
              <c:f>Campus!$F$2:$F$5</c:f>
              <c:numCache>
                <c:formatCode>General</c:formatCode>
                <c:ptCount val="4"/>
                <c:pt idx="0">
                  <c:v>0</c:v>
                </c:pt>
                <c:pt idx="1">
                  <c:v>1</c:v>
                </c:pt>
                <c:pt idx="2">
                  <c:v>3</c:v>
                </c:pt>
                <c:pt idx="3">
                  <c:v>5</c:v>
                </c:pt>
              </c:numCache>
            </c:numRef>
          </c:xVal>
          <c:yVal>
            <c:numRef>
              <c:f>(Campus!$G$16,Campus!$G$8:$G$10)</c:f>
              <c:numCache>
                <c:formatCode>0.00</c:formatCode>
                <c:ptCount val="4"/>
                <c:pt idx="0">
                  <c:v>0.95134158971951188</c:v>
                </c:pt>
                <c:pt idx="1">
                  <c:v>1.2078208204125016</c:v>
                </c:pt>
                <c:pt idx="2">
                  <c:v>1.5376874331240611</c:v>
                </c:pt>
                <c:pt idx="3">
                  <c:v>1.8895915229677738</c:v>
                </c:pt>
              </c:numCache>
            </c:numRef>
          </c:yVal>
          <c:smooth val="0"/>
          <c:extLst>
            <c:ext xmlns:c16="http://schemas.microsoft.com/office/drawing/2014/chart" uri="{C3380CC4-5D6E-409C-BE32-E72D297353CC}">
              <c16:uniqueId val="{00000001-9618-9442-A4F8-AC7951B22D70}"/>
            </c:ext>
          </c:extLst>
        </c:ser>
        <c:dLbls>
          <c:showLegendKey val="0"/>
          <c:showVal val="0"/>
          <c:showCatName val="0"/>
          <c:showSerName val="0"/>
          <c:showPercent val="0"/>
          <c:showBubbleSize val="0"/>
        </c:dLbls>
        <c:axId val="300731008"/>
        <c:axId val="181199616"/>
      </c:scatterChart>
      <c:valAx>
        <c:axId val="300731008"/>
        <c:scaling>
          <c:orientation val="minMax"/>
        </c:scaling>
        <c:delete val="0"/>
        <c:axPos val="b"/>
        <c:title>
          <c:tx>
            <c:rich>
              <a:bodyPr/>
              <a:lstStyle/>
              <a:p>
                <a:pPr>
                  <a:defRPr/>
                </a:pPr>
                <a:r>
                  <a:rPr lang="en-US"/>
                  <a:t>Volume of Standard Added (mL)</a:t>
                </a:r>
              </a:p>
            </c:rich>
          </c:tx>
          <c:overlay val="0"/>
        </c:title>
        <c:numFmt formatCode="General" sourceLinked="1"/>
        <c:majorTickMark val="out"/>
        <c:minorTickMark val="none"/>
        <c:tickLblPos val="nextTo"/>
        <c:crossAx val="181199616"/>
        <c:crosses val="autoZero"/>
        <c:crossBetween val="midCat"/>
        <c:majorUnit val="1"/>
      </c:valAx>
      <c:valAx>
        <c:axId val="181199616"/>
        <c:scaling>
          <c:orientation val="minMax"/>
        </c:scaling>
        <c:delete val="0"/>
        <c:axPos val="l"/>
        <c:majorGridlines/>
        <c:title>
          <c:tx>
            <c:rich>
              <a:bodyPr rot="-5400000" vert="horz"/>
              <a:lstStyle/>
              <a:p>
                <a:pPr>
                  <a:defRPr/>
                </a:pPr>
                <a:r>
                  <a:rPr lang="en-US"/>
                  <a:t>Response Factor (Prallethrin Response/ISTD Response)</a:t>
                </a:r>
              </a:p>
            </c:rich>
          </c:tx>
          <c:overlay val="0"/>
        </c:title>
        <c:numFmt formatCode="0.00" sourceLinked="1"/>
        <c:majorTickMark val="out"/>
        <c:minorTickMark val="none"/>
        <c:tickLblPos val="nextTo"/>
        <c:crossAx val="300731008"/>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v>Prallethrin Linearity</c:v>
          </c:tx>
          <c:spPr>
            <a:ln w="28575">
              <a:noFill/>
            </a:ln>
          </c:spPr>
          <c:trendline>
            <c:trendlineType val="linear"/>
            <c:dispRSqr val="1"/>
            <c:dispEq val="1"/>
            <c:trendlineLbl>
              <c:layout>
                <c:manualLayout>
                  <c:x val="0.35082392825896763"/>
                  <c:y val="-5.5914625255176438E-2"/>
                </c:manualLayout>
              </c:layout>
              <c:numFmt formatCode="General" sourceLinked="0"/>
            </c:trendlineLbl>
          </c:trendline>
          <c:xVal>
            <c:numRef>
              <c:f>Sheet1!$B$2:$B$4</c:f>
              <c:numCache>
                <c:formatCode>General</c:formatCode>
                <c:ptCount val="3"/>
                <c:pt idx="0">
                  <c:v>0.51644999999999996</c:v>
                </c:pt>
                <c:pt idx="1">
                  <c:v>1.0516799999999997</c:v>
                </c:pt>
                <c:pt idx="2">
                  <c:v>2.1409199999999999</c:v>
                </c:pt>
              </c:numCache>
            </c:numRef>
          </c:xVal>
          <c:yVal>
            <c:numRef>
              <c:f>Sheet1!$C$2:$C$4</c:f>
              <c:numCache>
                <c:formatCode>General</c:formatCode>
                <c:ptCount val="3"/>
                <c:pt idx="0">
                  <c:v>7481754</c:v>
                </c:pt>
                <c:pt idx="1">
                  <c:v>15529928</c:v>
                </c:pt>
                <c:pt idx="2">
                  <c:v>32687906</c:v>
                </c:pt>
              </c:numCache>
            </c:numRef>
          </c:yVal>
          <c:smooth val="0"/>
          <c:extLst>
            <c:ext xmlns:c16="http://schemas.microsoft.com/office/drawing/2014/chart" uri="{C3380CC4-5D6E-409C-BE32-E72D297353CC}">
              <c16:uniqueId val="{00000001-0FA6-6345-83A2-CED0556AFBF9}"/>
            </c:ext>
          </c:extLst>
        </c:ser>
        <c:dLbls>
          <c:showLegendKey val="0"/>
          <c:showVal val="0"/>
          <c:showCatName val="0"/>
          <c:showSerName val="0"/>
          <c:showPercent val="0"/>
          <c:showBubbleSize val="0"/>
        </c:dLbls>
        <c:axId val="184363264"/>
        <c:axId val="184373632"/>
      </c:scatterChart>
      <c:valAx>
        <c:axId val="184363264"/>
        <c:scaling>
          <c:orientation val="minMax"/>
        </c:scaling>
        <c:delete val="0"/>
        <c:axPos val="b"/>
        <c:title>
          <c:tx>
            <c:rich>
              <a:bodyPr/>
              <a:lstStyle/>
              <a:p>
                <a:pPr>
                  <a:defRPr/>
                </a:pPr>
                <a:r>
                  <a:rPr lang="en-US"/>
                  <a:t>Prallethrin Calibration Solution Concentration (mg/mL)</a:t>
                </a:r>
              </a:p>
            </c:rich>
          </c:tx>
          <c:overlay val="0"/>
        </c:title>
        <c:numFmt formatCode="General" sourceLinked="1"/>
        <c:majorTickMark val="out"/>
        <c:minorTickMark val="none"/>
        <c:tickLblPos val="nextTo"/>
        <c:crossAx val="184373632"/>
        <c:crosses val="autoZero"/>
        <c:crossBetween val="midCat"/>
      </c:valAx>
      <c:valAx>
        <c:axId val="184373632"/>
        <c:scaling>
          <c:orientation val="minMax"/>
        </c:scaling>
        <c:delete val="0"/>
        <c:axPos val="l"/>
        <c:majorGridlines/>
        <c:title>
          <c:tx>
            <c:rich>
              <a:bodyPr rot="-5400000" vert="horz"/>
              <a:lstStyle/>
              <a:p>
                <a:pPr>
                  <a:defRPr/>
                </a:pPr>
                <a:r>
                  <a:rPr lang="en-US"/>
                  <a:t>Prallethrin Response (Area count)</a:t>
                </a:r>
              </a:p>
            </c:rich>
          </c:tx>
          <c:overlay val="0"/>
        </c:title>
        <c:numFmt formatCode="General" sourceLinked="1"/>
        <c:majorTickMark val="out"/>
        <c:minorTickMark val="none"/>
        <c:tickLblPos val="nextTo"/>
        <c:crossAx val="184363264"/>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A957B-AEFE-A146-8492-76421AE6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King</dc:creator>
  <cp:lastModifiedBy>John Dawson</cp:lastModifiedBy>
  <cp:revision>2</cp:revision>
  <dcterms:created xsi:type="dcterms:W3CDTF">2018-05-24T11:05:00Z</dcterms:created>
  <dcterms:modified xsi:type="dcterms:W3CDTF">2018-05-24T11:05:00Z</dcterms:modified>
</cp:coreProperties>
</file>